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r>
        <w:rPr>
          <w:rFonts w:hint="eastAsia" w:ascii="宋体" w:cs="Arial"/>
          <w:szCs w:val="24"/>
        </w:rPr>
        <w:t>网址：</w:t>
      </w:r>
      <w:r>
        <w:rPr>
          <w:rStyle w:val="36"/>
          <w:rFonts w:hint="eastAsia"/>
          <w:color w:val="auto"/>
        </w:rPr>
        <w:fldChar w:fldCharType="begin"/>
      </w:r>
      <w:r>
        <w:instrText xml:space="preserve">HYPERLINK "https://gzzfcg.gcycloud.cn/site/gzsaas/index.html"</w:instrText>
      </w:r>
      <w:r>
        <w:rPr>
          <w:rStyle w:val="36"/>
          <w:rFonts w:hint="eastAsia"/>
          <w:color w:val="auto"/>
        </w:rPr>
        <w:fldChar w:fldCharType="separate"/>
      </w:r>
      <w:r>
        <w:rPr>
          <w:rStyle w:val="36"/>
          <w:rFonts w:hint="eastAsia"/>
          <w:color w:val="auto"/>
        </w:rPr>
        <w:t>https://gzzfcg.gcycloud.cn/site/gzsaas/index.html</w:t>
      </w:r>
      <w:r>
        <w:rPr>
          <w:rStyle w:val="36"/>
          <w:rFonts w:hint="eastAsia"/>
          <w:color w:val="auto"/>
        </w:rPr>
        <w:fldChar w:fldCharType="end"/>
      </w:r>
    </w:p>
    <w:p/>
    <w:p/>
    <w:p>
      <w:pPr>
        <w:jc w:val="center"/>
        <w:rPr>
          <w:rFonts w:ascii="宋体" w:cs="Arial"/>
          <w:b/>
          <w:spacing w:val="40"/>
          <w:sz w:val="72"/>
          <w:szCs w:val="72"/>
        </w:rPr>
      </w:pPr>
      <w:bookmarkStart w:id="0" w:name="_Toc37569493"/>
      <w:bookmarkStart w:id="1" w:name="_Toc37581393"/>
      <w:bookmarkStart w:id="2" w:name="_Toc37663365"/>
      <w:bookmarkStart w:id="3" w:name="_Toc37331055"/>
      <w:bookmarkStart w:id="4" w:name="_Toc38947771"/>
      <w:bookmarkStart w:id="5" w:name="_Toc37245250"/>
      <w:bookmarkStart w:id="6" w:name="_Toc37331012"/>
    </w:p>
    <w:p>
      <w:pPr>
        <w:jc w:val="center"/>
        <w:rPr>
          <w:rFonts w:ascii="宋体" w:cs="Arial"/>
          <w:b/>
          <w:spacing w:val="40"/>
          <w:sz w:val="72"/>
          <w:szCs w:val="72"/>
        </w:rPr>
      </w:pPr>
      <w:r>
        <w:rPr>
          <w:rFonts w:ascii="宋体" w:cs="Arial"/>
          <w:b/>
          <w:spacing w:val="40"/>
          <w:sz w:val="72"/>
          <w:szCs w:val="72"/>
        </w:rPr>
        <w:t>招标文件</w:t>
      </w:r>
    </w:p>
    <w:p>
      <w:pPr>
        <w:rPr>
          <w:rFonts w:ascii="宋体"/>
        </w:rPr>
      </w:pPr>
    </w:p>
    <w:p>
      <w:pPr>
        <w:jc w:val="center"/>
        <w:rPr>
          <w:rFonts w:ascii="宋体" w:cs="Arial"/>
          <w:b/>
          <w:sz w:val="32"/>
          <w:szCs w:val="32"/>
        </w:rPr>
      </w:pPr>
      <w:r>
        <w:rPr>
          <w:rFonts w:hint="eastAsia" w:ascii="宋体" w:cs="Arial"/>
          <w:b/>
          <w:szCs w:val="24"/>
        </w:rPr>
        <w:drawing>
          <wp:inline distT="0" distB="0" distL="114300" distR="114300">
            <wp:extent cx="3025775" cy="3033395"/>
            <wp:effectExtent l="0" t="0" r="3175" b="14605"/>
            <wp:docPr id="1" name="图片 4" descr="logo彩色"/>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4" descr="logo彩色"/>
                    <pic:cNvPicPr>
                      <a:picLocks noChangeAspect="1"/>
                    </pic:cNvPicPr>
                  </pic:nvPicPr>
                  <pic:blipFill>
                    <a:blip r:embed="rId10"/>
                    <a:stretch>
                      <a:fillRect/>
                    </a:stretch>
                  </pic:blipFill>
                  <pic:spPr>
                    <a:xfrm>
                      <a:off x="0" y="0"/>
                      <a:ext cx="3025775" cy="3033395"/>
                    </a:xfrm>
                    <a:prstGeom prst="rect">
                      <a:avLst/>
                    </a:prstGeom>
                    <a:noFill/>
                    <a:ln w="9525" cap="flat" cmpd="sng">
                      <a:noFill/>
                      <a:prstDash val="solid"/>
                      <a:round/>
                    </a:ln>
                  </pic:spPr>
                </pic:pic>
              </a:graphicData>
            </a:graphic>
          </wp:inline>
        </w:drawing>
      </w:r>
    </w:p>
    <w:p>
      <w:pPr>
        <w:spacing w:line="360" w:lineRule="auto"/>
        <w:ind w:firstLine="527" w:firstLineChars="164"/>
        <w:rPr>
          <w:rFonts w:ascii="宋体" w:cs="Arial"/>
          <w:b/>
          <w:sz w:val="32"/>
          <w:szCs w:val="32"/>
        </w:rPr>
      </w:pPr>
    </w:p>
    <w:p>
      <w:pPr>
        <w:spacing w:line="360" w:lineRule="auto"/>
        <w:ind w:firstLine="527" w:firstLineChars="164"/>
        <w:rPr>
          <w:rFonts w:ascii="宋体" w:cs="Arial"/>
          <w:b/>
          <w:sz w:val="32"/>
          <w:szCs w:val="32"/>
        </w:rPr>
      </w:pPr>
    </w:p>
    <w:p>
      <w:pPr>
        <w:spacing w:line="360" w:lineRule="auto"/>
        <w:jc w:val="left"/>
        <w:rPr>
          <w:rFonts w:hint="eastAsia" w:ascii="宋体" w:eastAsia="宋体" w:cs="Arial"/>
          <w:b/>
          <w:sz w:val="32"/>
          <w:szCs w:val="32"/>
          <w:lang w:eastAsia="zh-CN"/>
        </w:rPr>
      </w:pPr>
      <w:r>
        <w:rPr>
          <w:rFonts w:hint="eastAsia" w:ascii="宋体" w:cs="Arial"/>
          <w:b/>
          <w:sz w:val="32"/>
          <w:szCs w:val="32"/>
        </w:rPr>
        <w:t xml:space="preserve">项目编号： </w:t>
      </w:r>
      <w:r>
        <w:rPr>
          <w:rFonts w:hint="eastAsia" w:ascii="宋体" w:cs="Arial"/>
          <w:b/>
          <w:sz w:val="32"/>
          <w:szCs w:val="32"/>
          <w:lang w:eastAsia="zh-CN"/>
        </w:rPr>
        <w:t>QCZ2026-0010</w:t>
      </w:r>
    </w:p>
    <w:p>
      <w:pPr>
        <w:spacing w:line="360" w:lineRule="auto"/>
        <w:ind w:left="1600" w:hanging="1606" w:hangingChars="500"/>
        <w:jc w:val="left"/>
        <w:rPr>
          <w:rFonts w:ascii="宋体" w:cs="Arial"/>
          <w:b/>
          <w:sz w:val="32"/>
          <w:szCs w:val="32"/>
        </w:rPr>
      </w:pPr>
      <w:r>
        <w:rPr>
          <w:rFonts w:hint="eastAsia" w:ascii="宋体" w:cs="Arial"/>
          <w:b/>
          <w:sz w:val="32"/>
          <w:szCs w:val="32"/>
        </w:rPr>
        <w:t>项目名称：广州海关食堂食材配送服务</w:t>
      </w:r>
    </w:p>
    <w:bookmarkEnd w:id="0"/>
    <w:bookmarkEnd w:id="1"/>
    <w:bookmarkEnd w:id="2"/>
    <w:bookmarkEnd w:id="3"/>
    <w:bookmarkEnd w:id="4"/>
    <w:bookmarkEnd w:id="5"/>
    <w:bookmarkEnd w:id="6"/>
    <w:p>
      <w:pPr>
        <w:spacing w:line="300" w:lineRule="auto"/>
        <w:jc w:val="right"/>
        <w:rPr>
          <w:rFonts w:ascii="宋体" w:cs="仿宋_GB2312"/>
          <w:b/>
          <w:spacing w:val="40"/>
          <w:sz w:val="32"/>
          <w:szCs w:val="32"/>
        </w:rPr>
      </w:pPr>
    </w:p>
    <w:p>
      <w:pPr>
        <w:spacing w:line="300" w:lineRule="auto"/>
        <w:jc w:val="right"/>
        <w:rPr>
          <w:rFonts w:ascii="宋体" w:cs="仿宋_GB2312"/>
          <w:b/>
          <w:spacing w:val="40"/>
          <w:sz w:val="32"/>
          <w:szCs w:val="32"/>
        </w:rPr>
      </w:pPr>
    </w:p>
    <w:p>
      <w:pPr>
        <w:spacing w:line="300" w:lineRule="auto"/>
        <w:jc w:val="center"/>
        <w:rPr>
          <w:rFonts w:ascii="宋体" w:cs="仿宋_GB2312"/>
          <w:b/>
          <w:sz w:val="32"/>
          <w:szCs w:val="32"/>
        </w:rPr>
      </w:pPr>
      <w:r>
        <w:rPr>
          <w:rFonts w:ascii="宋体" w:cs="仿宋_GB2312"/>
          <w:b/>
          <w:spacing w:val="40"/>
          <w:sz w:val="32"/>
          <w:szCs w:val="32"/>
        </w:rPr>
        <w:t>广州市政府采购中心</w:t>
      </w:r>
    </w:p>
    <w:p>
      <w:pPr>
        <w:jc w:val="center"/>
        <w:rPr>
          <w:rFonts w:ascii="宋体"/>
        </w:rPr>
      </w:pPr>
      <w:r>
        <w:rPr>
          <w:rFonts w:ascii="宋体"/>
          <w:sz w:val="32"/>
          <w:szCs w:val="32"/>
        </w:rPr>
        <w:t>202</w:t>
      </w:r>
      <w:r>
        <w:rPr>
          <w:rFonts w:hint="eastAsia" w:ascii="宋体"/>
          <w:sz w:val="32"/>
          <w:szCs w:val="32"/>
          <w:lang w:val="en-US" w:eastAsia="zh-CN"/>
        </w:rPr>
        <w:t>6</w:t>
      </w:r>
      <w:r>
        <w:rPr>
          <w:rFonts w:ascii="宋体"/>
          <w:sz w:val="32"/>
          <w:szCs w:val="32"/>
        </w:rPr>
        <w:t>年</w:t>
      </w:r>
      <w:r>
        <w:rPr>
          <w:rFonts w:hint="eastAsia" w:ascii="宋体"/>
          <w:sz w:val="32"/>
          <w:szCs w:val="32"/>
          <w:lang w:val="en-US" w:eastAsia="zh-CN"/>
        </w:rPr>
        <w:t>3月9</w:t>
      </w:r>
      <w:r>
        <w:rPr>
          <w:rFonts w:ascii="宋体"/>
          <w:sz w:val="32"/>
          <w:szCs w:val="32"/>
        </w:rPr>
        <w:t>日</w:t>
      </w:r>
      <w:bookmarkStart w:id="7" w:name="EBd97a963d55784ea39a922f2c677e005e"/>
      <w:bookmarkEnd w:id="7"/>
    </w:p>
    <w:p>
      <w:pPr>
        <w:spacing w:line="360" w:lineRule="auto"/>
        <w:jc w:val="center"/>
        <w:rPr>
          <w:rFonts w:ascii="宋体" w:cs="Arial"/>
          <w:sz w:val="32"/>
        </w:rPr>
        <w:sectPr>
          <w:headerReference r:id="rId5" w:type="first"/>
          <w:headerReference r:id="rId3" w:type="default"/>
          <w:headerReference r:id="rId4" w:type="even"/>
          <w:pgSz w:w="11906" w:h="16838"/>
          <w:pgMar w:top="1440" w:right="1080" w:bottom="1440" w:left="1080" w:header="851" w:footer="992" w:gutter="0"/>
          <w:cols w:space="720" w:num="1"/>
          <w:docGrid w:type="lines" w:linePitch="326" w:charSpace="0"/>
        </w:sectPr>
      </w:pPr>
    </w:p>
    <w:p>
      <w:pPr>
        <w:spacing w:line="360" w:lineRule="auto"/>
        <w:jc w:val="center"/>
        <w:rPr>
          <w:rFonts w:ascii="宋体" w:cs="Arial"/>
          <w:b/>
          <w:sz w:val="32"/>
        </w:rPr>
      </w:pPr>
      <w:r>
        <w:rPr>
          <w:rFonts w:hint="eastAsia" w:ascii="宋体"/>
          <w:b/>
          <w:sz w:val="36"/>
          <w:szCs w:val="36"/>
        </w:rPr>
        <w:t>温馨提示：</w:t>
      </w:r>
      <w:r>
        <w:rPr>
          <w:rFonts w:ascii="宋体"/>
          <w:b/>
          <w:sz w:val="36"/>
          <w:szCs w:val="36"/>
        </w:rPr>
        <w:t>供应商投标特别注意事项</w:t>
      </w:r>
    </w:p>
    <w:p>
      <w:pPr>
        <w:tabs>
          <w:tab w:val="left" w:pos="0"/>
          <w:tab w:val="left" w:pos="360"/>
          <w:tab w:val="left" w:pos="1565"/>
        </w:tabs>
        <w:spacing w:line="520" w:lineRule="exact"/>
        <w:rPr>
          <w:rFonts w:ascii="宋体" w:cs="宋体"/>
          <w:kern w:val="0"/>
          <w:position w:val="-1"/>
          <w:szCs w:val="24"/>
          <w:lang w:val="zh-CN"/>
        </w:rPr>
      </w:pPr>
      <w:r>
        <w:rPr>
          <w:rStyle w:val="58"/>
          <w:rFonts w:ascii="宋体"/>
          <w:szCs w:val="24"/>
        </w:rPr>
        <w:tab/>
      </w:r>
      <w:r>
        <w:rPr>
          <w:rFonts w:ascii="宋体" w:cs="宋体"/>
          <w:kern w:val="0"/>
          <w:position w:val="-1"/>
          <w:szCs w:val="24"/>
          <w:lang w:val="zh-CN"/>
        </w:rPr>
        <w:t>一、参加投标之前，供应商应确认企业信用档案是否办理，以免出现企业信用档案不能被使用等问题。上述情况有可能导致投标登记信息无法导入广州市政府采购中心（以下简称市政府采购中心）政府采购交易系统。</w:t>
      </w:r>
      <w:r>
        <w:rPr>
          <w:rFonts w:ascii="宋体" w:cs="宋体"/>
          <w:kern w:val="0"/>
          <w:position w:val="-1"/>
          <w:szCs w:val="24"/>
          <w:lang w:val="zh-CN"/>
        </w:rPr>
        <w:cr/>
      </w:r>
      <w:r>
        <w:rPr>
          <w:rFonts w:ascii="宋体" w:cs="宋体"/>
          <w:kern w:val="0"/>
          <w:position w:val="-1"/>
          <w:szCs w:val="24"/>
          <w:lang w:val="zh-CN"/>
        </w:rPr>
        <w:tab/>
      </w:r>
      <w:r>
        <w:rPr>
          <w:rFonts w:ascii="宋体" w:cs="宋体"/>
          <w:kern w:val="0"/>
          <w:position w:val="-1"/>
          <w:szCs w:val="24"/>
          <w:lang w:val="zh-CN"/>
        </w:rPr>
        <w:t>二、一律不接受纸质投标文件，只接受具备法律效力的电子投标文件。供应商参加投标前，应当到依法设立的电子认证服务机构</w:t>
      </w:r>
      <w:r>
        <w:rPr>
          <w:rFonts w:hint="eastAsia" w:ascii="宋体" w:cs="宋体"/>
          <w:kern w:val="0"/>
          <w:position w:val="-1"/>
          <w:szCs w:val="24"/>
          <w:lang w:val="zh-CN"/>
        </w:rPr>
        <w:t>根据办理指引办理</w:t>
      </w:r>
      <w:r>
        <w:rPr>
          <w:rFonts w:hint="eastAsia" w:ascii="宋体" w:cs="宋体"/>
          <w:kern w:val="0"/>
          <w:position w:val="-1"/>
          <w:szCs w:val="24"/>
        </w:rPr>
        <w:t>云平台</w:t>
      </w:r>
      <w:r>
        <w:rPr>
          <w:rFonts w:ascii="宋体" w:cs="宋体"/>
          <w:kern w:val="0"/>
          <w:position w:val="-1"/>
          <w:szCs w:val="24"/>
          <w:lang w:val="zh-CN"/>
        </w:rPr>
        <w:t>CA数字证书和电子签章。数字证书(CA)办理热线（第三方服务商）：GDCA:95105813，NETCA:020-89524338，CFCA:400-856-3882。</w:t>
      </w:r>
    </w:p>
    <w:p>
      <w:pPr>
        <w:spacing w:line="360" w:lineRule="auto"/>
        <w:rPr>
          <w:rFonts w:ascii="宋体" w:cs="宋体"/>
          <w:kern w:val="0"/>
          <w:position w:val="-1"/>
          <w:szCs w:val="24"/>
          <w:lang w:val="zh-CN"/>
        </w:rPr>
      </w:pPr>
      <w:r>
        <w:rPr>
          <w:rFonts w:ascii="宋体" w:cs="宋体"/>
          <w:kern w:val="0"/>
          <w:position w:val="-1"/>
          <w:szCs w:val="24"/>
          <w:lang w:val="zh-CN"/>
        </w:rPr>
        <w:t>CA办理指引：</w:t>
      </w:r>
      <w:r>
        <w:rPr>
          <w:rFonts w:ascii="宋体" w:cs="宋体"/>
          <w:kern w:val="0"/>
          <w:position w:val="-1"/>
          <w:szCs w:val="24"/>
          <w:lang w:val="zh-CN"/>
        </w:rPr>
        <w:fldChar w:fldCharType="begin"/>
      </w:r>
      <w:r>
        <w:instrText xml:space="preserve">HYPERLINK "https://gdgpo.czt.gd.gov.cn/help/problem/ca.html。"</w:instrText>
      </w:r>
      <w:r>
        <w:rPr>
          <w:rFonts w:ascii="宋体" w:cs="宋体"/>
          <w:kern w:val="0"/>
          <w:position w:val="-1"/>
          <w:szCs w:val="24"/>
          <w:lang w:val="zh-CN"/>
        </w:rPr>
        <w:fldChar w:fldCharType="separate"/>
      </w:r>
      <w:r>
        <w:rPr>
          <w:rFonts w:ascii="宋体" w:cs="宋体"/>
          <w:kern w:val="0"/>
          <w:position w:val="-1"/>
          <w:szCs w:val="24"/>
          <w:lang w:val="zh-CN"/>
        </w:rPr>
        <w:t>https://gdgpo.czt.gd.gov.cn/help/problem/ca.html</w:t>
      </w:r>
      <w:r>
        <w:rPr>
          <w:rFonts w:hint="eastAsia" w:ascii="宋体" w:cs="宋体"/>
          <w:kern w:val="0"/>
          <w:position w:val="-1"/>
          <w:szCs w:val="24"/>
          <w:lang w:val="zh-CN"/>
        </w:rPr>
        <w:t>。</w:t>
      </w:r>
      <w:r>
        <w:rPr>
          <w:rFonts w:ascii="宋体" w:cs="宋体"/>
          <w:kern w:val="0"/>
          <w:position w:val="-1"/>
          <w:szCs w:val="24"/>
          <w:lang w:val="zh-CN"/>
        </w:rPr>
        <w:fldChar w:fldCharType="end"/>
      </w:r>
    </w:p>
    <w:p>
      <w:pPr>
        <w:spacing w:line="360" w:lineRule="auto"/>
        <w:rPr>
          <w:rFonts w:ascii="宋体" w:cs="宋体"/>
          <w:kern w:val="0"/>
          <w:position w:val="-1"/>
          <w:szCs w:val="24"/>
        </w:rPr>
      </w:pPr>
      <w:r>
        <w:rPr>
          <w:rFonts w:hint="eastAsia" w:ascii="宋体" w:cs="宋体"/>
          <w:kern w:val="0"/>
          <w:position w:val="-1"/>
          <w:szCs w:val="24"/>
        </w:rPr>
        <w:t>系统操作指南链接：</w:t>
      </w:r>
    </w:p>
    <w:p>
      <w:pPr>
        <w:spacing w:line="360" w:lineRule="auto"/>
        <w:rPr>
          <w:rFonts w:ascii="宋体" w:cs="宋体"/>
          <w:kern w:val="0"/>
          <w:position w:val="-1"/>
          <w:szCs w:val="24"/>
        </w:rPr>
      </w:pPr>
      <w:r>
        <w:rPr>
          <w:rFonts w:hint="eastAsia" w:ascii="宋体" w:cs="宋体"/>
          <w:kern w:val="0"/>
          <w:position w:val="-1"/>
          <w:szCs w:val="24"/>
        </w:rPr>
        <w:fldChar w:fldCharType="begin"/>
      </w:r>
      <w:r>
        <w:instrText xml:space="preserve">HYPERLINK "https://gzzfcg.gcycloud.cn/freecms/site/gzsaas/xzzx/index.html"</w:instrText>
      </w:r>
      <w:r>
        <w:rPr>
          <w:rFonts w:hint="eastAsia" w:ascii="宋体" w:cs="宋体"/>
          <w:kern w:val="0"/>
          <w:position w:val="-1"/>
          <w:szCs w:val="24"/>
        </w:rPr>
        <w:fldChar w:fldCharType="separate"/>
      </w:r>
      <w:r>
        <w:rPr>
          <w:rFonts w:hint="eastAsia" w:ascii="宋体" w:cs="宋体"/>
          <w:kern w:val="0"/>
          <w:position w:val="-1"/>
          <w:szCs w:val="24"/>
        </w:rPr>
        <w:t>https://gzzfcg.gcycloud.cn/freecms/site/gzsaas/xzzx/index.html</w:t>
      </w:r>
      <w:r>
        <w:rPr>
          <w:rFonts w:hint="eastAsia" w:ascii="宋体" w:cs="宋体"/>
          <w:kern w:val="0"/>
          <w:position w:val="-1"/>
          <w:szCs w:val="24"/>
        </w:rPr>
        <w:fldChar w:fldCharType="end"/>
      </w:r>
    </w:p>
    <w:p>
      <w:pPr>
        <w:spacing w:line="360" w:lineRule="auto"/>
        <w:ind w:firstLine="480" w:firstLineChars="200"/>
        <w:rPr>
          <w:rFonts w:ascii="宋体" w:cs="宋体"/>
          <w:kern w:val="0"/>
          <w:position w:val="-1"/>
          <w:szCs w:val="24"/>
          <w:lang w:val="zh-CN"/>
        </w:rPr>
      </w:pPr>
      <w:r>
        <w:rPr>
          <w:rFonts w:hint="eastAsia" w:ascii="宋体" w:cs="宋体"/>
          <w:kern w:val="0"/>
          <w:position w:val="-1"/>
          <w:szCs w:val="24"/>
          <w:lang w:val="zh-CN"/>
        </w:rPr>
        <w:t>三、</w:t>
      </w:r>
      <w:r>
        <w:rPr>
          <w:rFonts w:ascii="宋体" w:cs="宋体"/>
          <w:kern w:val="0"/>
          <w:position w:val="-1"/>
          <w:szCs w:val="24"/>
          <w:lang w:val="zh-CN"/>
        </w:rPr>
        <w:t>如更正公告有重新发布电子招标文件的，供应商需使用更正公告后最新发布的电子招标文件来制作电子投标文件，否则投标时将无法正常提交电子投标文件。</w:t>
      </w:r>
      <w:r>
        <w:rPr>
          <w:rFonts w:ascii="宋体" w:cs="宋体"/>
          <w:kern w:val="0"/>
          <w:position w:val="-1"/>
          <w:szCs w:val="24"/>
          <w:lang w:val="zh-CN"/>
        </w:rPr>
        <w:cr/>
      </w:r>
      <w:r>
        <w:rPr>
          <w:rFonts w:ascii="宋体" w:cs="宋体"/>
          <w:kern w:val="0"/>
          <w:position w:val="-1"/>
          <w:szCs w:val="24"/>
          <w:lang w:val="zh-CN"/>
        </w:rPr>
        <w:tab/>
      </w:r>
      <w:r>
        <w:rPr>
          <w:rFonts w:ascii="宋体" w:cs="宋体"/>
          <w:kern w:val="0"/>
          <w:position w:val="-1"/>
          <w:szCs w:val="24"/>
          <w:lang w:val="zh-CN"/>
        </w:rPr>
        <w:t>四、供应商需在提交投标文件截止时间前完整上传电子投标文件并保存在</w:t>
      </w:r>
      <w:r>
        <w:rPr>
          <w:rFonts w:hint="eastAsia" w:ascii="宋体" w:cs="宋体"/>
          <w:kern w:val="0"/>
          <w:position w:val="-1"/>
          <w:szCs w:val="24"/>
          <w:lang w:val="zh-CN"/>
        </w:rPr>
        <w:t>广州市政府采购中心采购综合管理服务平台</w:t>
      </w:r>
      <w:r>
        <w:rPr>
          <w:rFonts w:hint="eastAsia" w:ascii="宋体" w:cs="宋体"/>
          <w:kern w:val="0"/>
          <w:position w:val="-1"/>
          <w:szCs w:val="24"/>
        </w:rPr>
        <w:t>采购系统</w:t>
      </w:r>
      <w:r>
        <w:rPr>
          <w:rFonts w:ascii="宋体" w:cs="宋体"/>
          <w:kern w:val="0"/>
          <w:position w:val="-1"/>
          <w:szCs w:val="24"/>
          <w:lang w:val="zh-CN"/>
        </w:rPr>
        <w:t>，且取得回执。逾期送达或错误投递方式送达的投标文件</w:t>
      </w:r>
      <w:r>
        <w:rPr>
          <w:rFonts w:hint="eastAsia" w:ascii="宋体" w:cs="宋体"/>
          <w:kern w:val="0"/>
          <w:position w:val="-1"/>
          <w:szCs w:val="24"/>
        </w:rPr>
        <w:t>广州</w:t>
      </w:r>
      <w:r>
        <w:rPr>
          <w:rFonts w:ascii="宋体" w:cs="宋体"/>
          <w:kern w:val="0"/>
          <w:position w:val="-1"/>
          <w:szCs w:val="24"/>
          <w:lang w:val="zh-CN"/>
        </w:rPr>
        <w:t>市政府采购中心恕不接收。</w:t>
      </w:r>
      <w:r>
        <w:rPr>
          <w:rFonts w:ascii="宋体" w:cs="宋体"/>
          <w:kern w:val="0"/>
          <w:position w:val="-1"/>
          <w:szCs w:val="24"/>
          <w:lang w:val="zh-CN"/>
        </w:rPr>
        <w:cr/>
      </w:r>
      <w:r>
        <w:rPr>
          <w:rFonts w:ascii="宋体" w:cs="宋体"/>
          <w:kern w:val="0"/>
          <w:position w:val="-1"/>
          <w:szCs w:val="24"/>
          <w:lang w:val="zh-CN"/>
        </w:rPr>
        <w:tab/>
      </w:r>
      <w:r>
        <w:rPr>
          <w:rFonts w:ascii="宋体" w:cs="宋体"/>
          <w:kern w:val="0"/>
          <w:position w:val="-1"/>
          <w:szCs w:val="24"/>
          <w:lang w:val="zh-CN"/>
        </w:rPr>
        <w:t>五、加★号的条款均被视为</w:t>
      </w:r>
      <w:r>
        <w:rPr>
          <w:rFonts w:hint="eastAsia" w:ascii="宋体" w:cs="宋体"/>
          <w:kern w:val="0"/>
          <w:position w:val="-1"/>
          <w:szCs w:val="24"/>
        </w:rPr>
        <w:t>实质性响应条款</w:t>
      </w:r>
      <w:r>
        <w:rPr>
          <w:rFonts w:ascii="宋体" w:cs="宋体"/>
          <w:kern w:val="0"/>
          <w:position w:val="-1"/>
          <w:szCs w:val="24"/>
          <w:lang w:val="zh-CN"/>
        </w:rPr>
        <w:t>，必须一一响应。若有一项带★的指标要求未响应或不满足，将按投标无效处理。</w:t>
      </w:r>
      <w:r>
        <w:rPr>
          <w:rFonts w:ascii="宋体" w:cs="宋体"/>
          <w:kern w:val="0"/>
          <w:position w:val="-1"/>
          <w:szCs w:val="24"/>
          <w:lang w:val="zh-CN"/>
        </w:rPr>
        <w:cr/>
      </w:r>
      <w:r>
        <w:rPr>
          <w:rFonts w:ascii="宋体" w:cs="宋体"/>
          <w:kern w:val="0"/>
          <w:position w:val="-1"/>
          <w:szCs w:val="24"/>
          <w:lang w:val="zh-CN"/>
        </w:rPr>
        <w:tab/>
      </w:r>
      <w:r>
        <w:rPr>
          <w:rFonts w:ascii="宋体" w:cs="宋体"/>
          <w:kern w:val="0"/>
          <w:position w:val="-1"/>
          <w:szCs w:val="24"/>
          <w:lang w:val="zh-CN"/>
        </w:rPr>
        <w:t>六、</w:t>
      </w:r>
      <w:r>
        <w:rPr>
          <w:rFonts w:hint="eastAsia" w:ascii="宋体" w:cs="宋体"/>
          <w:kern w:val="0"/>
          <w:position w:val="-1"/>
          <w:szCs w:val="24"/>
          <w:lang w:val="zh-CN"/>
        </w:rPr>
        <w:t>评标委员会认为投标人的报价明显低于其他通过符合性审查投标人的报价，有可能影响产品质量或者不能诚信履约的，应当要求其在评标现场合理的时间内提供书面说明，并提交具体成本测算等与报价合理性相关的证明材料（包括但不限于供应商投标报价期上一年度自身生产、经营成本及相关证明材料，证明材料包括：第三方机构出具的自身生产、经营成本的审计报告等相关证明材料证明其报价合理性）及《质量保障承诺书》；如新成立企业，只需提供《质量保障承诺书》（第五章 格式二十</w:t>
      </w:r>
      <w:r>
        <w:rPr>
          <w:rFonts w:hint="eastAsia" w:ascii="宋体" w:cs="宋体"/>
          <w:kern w:val="0"/>
          <w:position w:val="-1"/>
          <w:szCs w:val="24"/>
        </w:rPr>
        <w:t>五</w:t>
      </w:r>
      <w:r>
        <w:rPr>
          <w:rFonts w:hint="eastAsia" w:ascii="宋体" w:cs="宋体"/>
          <w:kern w:val="0"/>
          <w:position w:val="-1"/>
          <w:szCs w:val="24"/>
          <w:lang w:val="zh-CN"/>
        </w:rPr>
        <w:t>）。评标委员会认为投标人不能证明其报价合理性的，或有可能影响产品质量或者不能诚信履约的，应当将其作为无效投标处理。</w:t>
      </w:r>
      <w:r>
        <w:rPr>
          <w:rFonts w:ascii="宋体" w:cs="宋体"/>
          <w:kern w:val="0"/>
          <w:position w:val="-1"/>
          <w:szCs w:val="24"/>
          <w:lang w:val="zh-CN"/>
        </w:rPr>
        <w:cr/>
      </w:r>
      <w:r>
        <w:rPr>
          <w:rFonts w:ascii="宋体" w:cs="宋体"/>
          <w:kern w:val="0"/>
          <w:position w:val="-1"/>
          <w:szCs w:val="24"/>
          <w:lang w:val="zh-CN"/>
        </w:rPr>
        <w:tab/>
      </w:r>
      <w:r>
        <w:rPr>
          <w:rFonts w:ascii="宋体" w:cs="宋体"/>
          <w:kern w:val="0"/>
          <w:position w:val="-1"/>
          <w:szCs w:val="24"/>
          <w:lang w:val="zh-CN"/>
        </w:rPr>
        <w:t>七、对可接受分支机构投标的项目，分支机构投标的，须提供分支机构的营业执照（执业许可证）扫描件及总公司（总所）出具给分支机构的授权书，授权书须加盖总公司（总所）公章。总公司（总所）可就本项目或此类项目在一定范围或时间内出具授权书。已由总公司（总所）授权的，总公司（总所）取得的相关资质证书对分支机构有效，法律法规或者行业另有规定的除外。</w:t>
      </w:r>
      <w:r>
        <w:rPr>
          <w:rFonts w:ascii="宋体" w:cs="宋体"/>
          <w:kern w:val="0"/>
          <w:position w:val="-1"/>
          <w:szCs w:val="24"/>
          <w:lang w:val="zh-CN"/>
        </w:rPr>
        <w:cr/>
      </w:r>
      <w:r>
        <w:rPr>
          <w:rFonts w:ascii="宋体" w:cs="宋体"/>
          <w:kern w:val="0"/>
          <w:position w:val="-1"/>
          <w:szCs w:val="24"/>
          <w:lang w:val="zh-CN"/>
        </w:rPr>
        <w:tab/>
      </w:r>
      <w:r>
        <w:rPr>
          <w:rFonts w:ascii="宋体" w:cs="宋体"/>
          <w:kern w:val="0"/>
          <w:position w:val="-1"/>
          <w:szCs w:val="24"/>
          <w:lang w:val="zh-CN"/>
        </w:rPr>
        <w:t>八、评标委员会评标时，对供应商部分信息直接取自供应商在广州交易集团有限公司网站企业库登记的信息，请供应商及时维护、更新企业库的信息，确保其时效性。</w:t>
      </w:r>
      <w:r>
        <w:rPr>
          <w:rFonts w:ascii="宋体" w:cs="宋体"/>
          <w:kern w:val="0"/>
          <w:position w:val="-1"/>
          <w:szCs w:val="24"/>
          <w:lang w:val="zh-CN"/>
        </w:rPr>
        <w:cr/>
      </w:r>
      <w:r>
        <w:rPr>
          <w:rFonts w:ascii="宋体" w:cs="宋体"/>
          <w:kern w:val="0"/>
          <w:position w:val="-1"/>
          <w:szCs w:val="24"/>
          <w:lang w:val="zh-CN"/>
        </w:rPr>
        <w:tab/>
      </w:r>
      <w:r>
        <w:rPr>
          <w:rFonts w:ascii="宋体" w:cs="宋体"/>
          <w:kern w:val="0"/>
          <w:position w:val="-1"/>
          <w:szCs w:val="24"/>
          <w:lang w:val="zh-CN"/>
        </w:rPr>
        <w:t>九、供应商一旦依法被确认为中标人，其投标文件中的相关内容（主要中标标的的名称、规格型号、数量、单价、服务要求等），将会随中标结果公告一并发布在采购信息发布网上，接受社会监督。</w:t>
      </w:r>
      <w:r>
        <w:rPr>
          <w:rFonts w:ascii="宋体" w:cs="宋体"/>
          <w:kern w:val="0"/>
          <w:position w:val="-1"/>
          <w:szCs w:val="24"/>
          <w:lang w:val="zh-CN"/>
        </w:rPr>
        <w:cr/>
      </w:r>
      <w:r>
        <w:rPr>
          <w:rFonts w:ascii="宋体" w:cs="宋体"/>
          <w:kern w:val="0"/>
          <w:position w:val="-1"/>
          <w:szCs w:val="24"/>
          <w:lang w:val="zh-CN"/>
        </w:rPr>
        <w:tab/>
      </w:r>
      <w:r>
        <w:rPr>
          <w:rFonts w:ascii="宋体" w:cs="宋体"/>
          <w:kern w:val="0"/>
          <w:position w:val="-1"/>
          <w:szCs w:val="24"/>
          <w:lang w:val="zh-CN"/>
        </w:rPr>
        <w:t>十、市政府采购中心为采购代理机构，不对供应商进行项目投标登记时提交的相关资料的真实性负责，如供应商发现相关资料被盗用或复制，应遵循法律途径解决，追究侵权者责任。</w:t>
      </w:r>
    </w:p>
    <w:p>
      <w:pPr>
        <w:spacing w:line="360" w:lineRule="auto"/>
        <w:ind w:firstLine="480" w:firstLineChars="200"/>
        <w:rPr>
          <w:rFonts w:ascii="宋体" w:cs="宋体"/>
          <w:kern w:val="0"/>
          <w:position w:val="-1"/>
          <w:szCs w:val="24"/>
        </w:rPr>
      </w:pPr>
      <w:r>
        <w:rPr>
          <w:rFonts w:hint="eastAsia" w:ascii="宋体" w:cs="宋体"/>
          <w:kern w:val="0"/>
          <w:position w:val="-1"/>
          <w:szCs w:val="24"/>
        </w:rPr>
        <w:t>十一、供应商注册：需在</w:t>
      </w:r>
      <w:r>
        <w:rPr>
          <w:rFonts w:hint="eastAsia" w:ascii="宋体" w:cs="宋体"/>
          <w:kern w:val="0"/>
          <w:position w:val="-1"/>
          <w:szCs w:val="24"/>
          <w:lang w:val="zh-CN"/>
        </w:rPr>
        <w:t>广州市政府采购中心采购综合管理服务平台</w:t>
      </w:r>
      <w:r>
        <w:rPr>
          <w:rFonts w:hint="eastAsia" w:ascii="宋体" w:cs="宋体"/>
          <w:kern w:val="0"/>
          <w:position w:val="-1"/>
          <w:szCs w:val="24"/>
        </w:rPr>
        <w:t>自行注册，准确填写基础信息并自主设置账号、密码；供应商注册完成后应妥善保管账号信息，并及时更新和维护单位基本信息。供应商同时参与广东政府采购智慧云平台业务的，应当确认不同平台的注册信息（包括但不限于单位名称、统一社会信用代码等关键信息）的一致性。</w:t>
      </w:r>
    </w:p>
    <w:p>
      <w:pPr>
        <w:spacing w:line="360" w:lineRule="auto"/>
        <w:ind w:firstLine="480" w:firstLineChars="200"/>
        <w:rPr>
          <w:rFonts w:ascii="宋体" w:cs="宋体"/>
          <w:kern w:val="0"/>
          <w:position w:val="-1"/>
          <w:szCs w:val="24"/>
        </w:rPr>
      </w:pPr>
      <w:r>
        <w:rPr>
          <w:rFonts w:hint="eastAsia" w:ascii="宋体" w:cs="宋体"/>
          <w:kern w:val="0"/>
          <w:position w:val="-1"/>
          <w:szCs w:val="24"/>
        </w:rPr>
        <w:t>注册地址：</w:t>
      </w:r>
    </w:p>
    <w:p>
      <w:pPr>
        <w:spacing w:line="360" w:lineRule="auto"/>
        <w:ind w:firstLine="480" w:firstLineChars="200"/>
        <w:rPr>
          <w:rFonts w:ascii="宋体" w:cs="宋体"/>
          <w:kern w:val="0"/>
          <w:position w:val="-1"/>
          <w:szCs w:val="24"/>
        </w:rPr>
      </w:pPr>
      <w:r>
        <w:rPr>
          <w:rFonts w:ascii="宋体" w:cs="宋体"/>
          <w:kern w:val="0"/>
          <w:position w:val="-1"/>
          <w:szCs w:val="24"/>
        </w:rPr>
        <w:t>https://gcycloud.cn/gpbs-gpbs/index.html#/gpbs/supplierReg/registrationPage?zoneCode=440101&amp;tenantId=ZF_DLJG_000004</w:t>
      </w:r>
    </w:p>
    <w:p>
      <w:pPr>
        <w:spacing w:line="360" w:lineRule="auto"/>
        <w:rPr>
          <w:szCs w:val="24"/>
        </w:rPr>
      </w:pPr>
    </w:p>
    <w:p>
      <w:pPr>
        <w:spacing w:line="360" w:lineRule="auto"/>
        <w:rPr>
          <w:szCs w:val="24"/>
        </w:rPr>
      </w:pPr>
      <w:r>
        <w:rPr>
          <w:szCs w:val="24"/>
        </w:rPr>
        <w:t>（本提示内容非招标文件的组成部分，仅为善意提醒。如有不一致，以招标文件为准。）</w:t>
      </w:r>
    </w:p>
    <w:p>
      <w:pPr>
        <w:spacing w:line="360" w:lineRule="auto"/>
        <w:ind w:firstLine="480" w:firstLineChars="200"/>
        <w:sectPr>
          <w:footerReference r:id="rId6" w:type="default"/>
          <w:pgSz w:w="11906" w:h="16838"/>
          <w:pgMar w:top="1440" w:right="1080" w:bottom="1440" w:left="1080" w:header="851" w:footer="992" w:gutter="0"/>
          <w:pgNumType w:start="1"/>
          <w:cols w:space="720" w:num="1"/>
          <w:docGrid w:type="lines" w:linePitch="326" w:charSpace="0"/>
        </w:sectPr>
      </w:pPr>
    </w:p>
    <w:p>
      <w:pPr>
        <w:pStyle w:val="24"/>
        <w:ind w:left="0" w:leftChars="0" w:firstLine="0" w:firstLineChars="0"/>
        <w:jc w:val="center"/>
        <w:rPr>
          <w:b/>
          <w:bCs/>
        </w:rPr>
      </w:pPr>
      <w:r>
        <w:rPr>
          <w:rFonts w:hint="eastAsia"/>
          <w:b/>
          <w:bCs/>
        </w:rPr>
        <w:t>广州海关食堂食材配送</w:t>
      </w:r>
      <w:r>
        <w:rPr>
          <w:rFonts w:hint="eastAsia" w:ascii="宋体" w:eastAsia="宋体" w:cs="宋体"/>
          <w:b/>
          <w:bCs/>
        </w:rPr>
        <w:t>服务（</w:t>
      </w:r>
      <w:r>
        <w:rPr>
          <w:rFonts w:hint="eastAsia" w:cs="宋体"/>
          <w:b/>
          <w:bCs/>
          <w:lang w:eastAsia="zh-CN"/>
        </w:rPr>
        <w:t>QCZ2026-0010</w:t>
      </w:r>
      <w:r>
        <w:rPr>
          <w:rFonts w:hint="eastAsia" w:ascii="宋体" w:eastAsia="宋体" w:cs="宋体"/>
          <w:b/>
          <w:bCs/>
        </w:rPr>
        <w:t>）招标邀请</w:t>
      </w:r>
    </w:p>
    <w:p>
      <w:pPr>
        <w:pStyle w:val="7"/>
        <w:widowControl/>
        <w:spacing w:before="150" w:beforeAutospacing="0" w:after="150" w:afterAutospacing="0" w:line="30" w:lineRule="atLeast"/>
        <w:textAlignment w:val="baseline"/>
        <w:rPr>
          <w:b w:val="0"/>
          <w:bCs w:val="0"/>
          <w:sz w:val="24"/>
          <w:szCs w:val="24"/>
        </w:rPr>
      </w:pPr>
      <w:r>
        <w:rPr>
          <w:rStyle w:val="33"/>
          <w:b/>
          <w:bCs/>
          <w:sz w:val="24"/>
          <w:szCs w:val="24"/>
          <w:shd w:val="clear" w:color="auto" w:fill="FFFFFF"/>
        </w:rPr>
        <w:t>项目概况</w:t>
      </w:r>
    </w:p>
    <w:p>
      <w:pPr>
        <w:pStyle w:val="24"/>
        <w:rPr>
          <w:shd w:val="clear" w:color="auto" w:fill="FFFFFF"/>
        </w:rPr>
      </w:pPr>
      <w:r>
        <w:rPr>
          <w:rFonts w:hint="eastAsia"/>
          <w:shd w:val="clear" w:color="auto" w:fill="FFFFFF"/>
        </w:rPr>
        <w:t>广州海关食堂食材配送服务的潜在投标人应在</w:t>
      </w:r>
      <w:r>
        <w:rPr>
          <w:rFonts w:hint="eastAsia"/>
        </w:rPr>
        <w:t>广州市政府采购中心采购综合管理服务平台网站（</w:t>
      </w:r>
      <w:r>
        <w:t>https://gcycloud.cn/gateway/gp-auth-center/login?tenantId=ZF_DLJG_000004</w:t>
      </w:r>
      <w:r>
        <w:rPr>
          <w:rFonts w:hint="eastAsia"/>
        </w:rPr>
        <w:t>)</w:t>
      </w:r>
      <w:r>
        <w:rPr>
          <w:rFonts w:hint="eastAsia"/>
          <w:shd w:val="clear" w:color="auto" w:fill="FFFFFF"/>
        </w:rPr>
        <w:t>在线获取招标文件，并于202</w:t>
      </w:r>
      <w:r>
        <w:rPr>
          <w:rFonts w:hint="eastAsia"/>
          <w:shd w:val="clear" w:color="auto" w:fill="FFFFFF"/>
          <w:lang w:val="en-US" w:eastAsia="zh-CN"/>
        </w:rPr>
        <w:t>6</w:t>
      </w:r>
      <w:r>
        <w:rPr>
          <w:rFonts w:hint="eastAsia"/>
          <w:shd w:val="clear" w:color="auto" w:fill="FFFFFF"/>
        </w:rPr>
        <w:t>年</w:t>
      </w:r>
      <w:r>
        <w:rPr>
          <w:rFonts w:hint="eastAsia"/>
          <w:shd w:val="clear" w:color="auto" w:fill="FFFFFF"/>
          <w:lang w:val="en-US" w:eastAsia="zh-CN"/>
        </w:rPr>
        <w:t>3</w:t>
      </w:r>
      <w:r>
        <w:rPr>
          <w:rFonts w:hint="eastAsia"/>
          <w:shd w:val="clear" w:color="auto" w:fill="FFFFFF"/>
        </w:rPr>
        <w:t>月</w:t>
      </w:r>
      <w:r>
        <w:rPr>
          <w:rFonts w:hint="eastAsia"/>
          <w:shd w:val="clear" w:color="auto" w:fill="FFFFFF"/>
          <w:lang w:val="en-US" w:eastAsia="zh-CN"/>
        </w:rPr>
        <w:t>30</w:t>
      </w:r>
      <w:r>
        <w:rPr>
          <w:rFonts w:hint="eastAsia"/>
          <w:shd w:val="clear" w:color="auto" w:fill="FFFFFF"/>
        </w:rPr>
        <w:t>日 09时00分（北京时间）前递交投标文件。</w:t>
      </w:r>
    </w:p>
    <w:p>
      <w:pPr>
        <w:pStyle w:val="5"/>
        <w:widowControl/>
        <w:spacing w:before="150" w:beforeAutospacing="0" w:afterAutospacing="0" w:line="750" w:lineRule="atLeast"/>
        <w:textAlignment w:val="baseline"/>
        <w:rPr>
          <w:rFonts w:cs="宋体"/>
          <w:b w:val="0"/>
          <w:bCs w:val="0"/>
        </w:rPr>
      </w:pPr>
      <w:r>
        <w:rPr>
          <w:rStyle w:val="33"/>
          <w:rFonts w:cs="宋体"/>
          <w:b/>
          <w:bCs/>
          <w:shd w:val="clear" w:color="auto" w:fill="FFFFFF"/>
        </w:rPr>
        <w:t>一、项目基本情况</w:t>
      </w:r>
    </w:p>
    <w:p>
      <w:pPr>
        <w:pStyle w:val="24"/>
        <w:rPr>
          <w:rFonts w:hint="eastAsia" w:eastAsia="宋体"/>
          <w:lang w:eastAsia="zh-CN"/>
        </w:rPr>
      </w:pPr>
      <w:r>
        <w:rPr>
          <w:rFonts w:hint="eastAsia"/>
          <w:shd w:val="clear" w:color="auto" w:fill="FFFFFF"/>
        </w:rPr>
        <w:t>项目编号：</w:t>
      </w:r>
      <w:r>
        <w:rPr>
          <w:rFonts w:hint="eastAsia"/>
          <w:shd w:val="clear" w:color="auto" w:fill="FFFFFF"/>
          <w:lang w:eastAsia="zh-CN"/>
        </w:rPr>
        <w:t>QCZ2026-0010</w:t>
      </w:r>
    </w:p>
    <w:p>
      <w:pPr>
        <w:pStyle w:val="24"/>
        <w:rPr>
          <w:shd w:val="clear" w:color="auto" w:fill="FFFFFF"/>
        </w:rPr>
      </w:pPr>
      <w:r>
        <w:rPr>
          <w:rFonts w:hint="eastAsia"/>
          <w:shd w:val="clear" w:color="auto" w:fill="FFFFFF"/>
        </w:rPr>
        <w:t>项目名称：广州海关食堂食材配送服务</w:t>
      </w:r>
    </w:p>
    <w:p>
      <w:pPr>
        <w:pStyle w:val="24"/>
      </w:pPr>
      <w:r>
        <w:rPr>
          <w:rFonts w:hint="eastAsia"/>
          <w:shd w:val="clear" w:color="auto" w:fill="FFFFFF"/>
        </w:rPr>
        <w:t>采购方式：公开招标</w:t>
      </w:r>
    </w:p>
    <w:p>
      <w:pPr>
        <w:pStyle w:val="24"/>
      </w:pPr>
      <w:r>
        <w:rPr>
          <w:rFonts w:hint="eastAsia"/>
          <w:shd w:val="clear" w:color="auto" w:fill="FFFFFF"/>
        </w:rPr>
        <w:t>预算金额：2000000.00元</w:t>
      </w:r>
    </w:p>
    <w:p>
      <w:pPr>
        <w:spacing w:line="360" w:lineRule="auto"/>
        <w:ind w:firstLine="482" w:firstLineChars="201"/>
        <w:rPr>
          <w:rFonts w:ascii="宋体" w:cs="宋体"/>
          <w:szCs w:val="24"/>
        </w:rPr>
      </w:pPr>
      <w:r>
        <w:rPr>
          <w:rFonts w:hint="eastAsia" w:ascii="宋体" w:cs="宋体"/>
          <w:kern w:val="0"/>
          <w:shd w:val="clear" w:color="auto" w:fill="FFFFFF"/>
        </w:rPr>
        <w:t>采购需求：</w:t>
      </w:r>
      <w:r>
        <w:rPr>
          <w:rFonts w:hint="eastAsia" w:ascii="宋体" w:cs="宋体"/>
          <w:szCs w:val="24"/>
        </w:rPr>
        <w:t>为了做好广州海关后勤管理中心的食堂规范管理工作，确保食品安全、卫生，拟对广州海关机关大楼食堂、南办公区食堂、海欣阁食堂的食品（粮油、调味品、干货、水果及奶制品类）的供货配送服务采用公开招标方式进行招标。</w:t>
      </w:r>
    </w:p>
    <w:p>
      <w:pPr>
        <w:pStyle w:val="24"/>
        <w:rPr>
          <w:shd w:val="clear" w:color="auto" w:fill="FFFFFF"/>
        </w:rPr>
      </w:pPr>
      <w:r>
        <w:rPr>
          <w:rFonts w:hint="eastAsia"/>
          <w:shd w:val="clear" w:color="auto" w:fill="FFFFFF"/>
        </w:rPr>
        <w:t>采购包1(广州海关食堂食材配送服务）:</w:t>
      </w:r>
    </w:p>
    <w:p>
      <w:pPr>
        <w:pStyle w:val="24"/>
      </w:pPr>
      <w:r>
        <w:rPr>
          <w:rFonts w:hint="eastAsia"/>
          <w:shd w:val="clear" w:color="auto" w:fill="FFFFFF"/>
        </w:rPr>
        <w:t>采购包预算金额：2000000.00元</w:t>
      </w:r>
    </w:p>
    <w:tbl>
      <w:tblPr>
        <w:tblStyle w:val="31"/>
        <w:tblW w:w="4984" w:type="pct"/>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autofit"/>
        <w:tblCellMar>
          <w:top w:w="0" w:type="dxa"/>
          <w:left w:w="0" w:type="dxa"/>
          <w:bottom w:w="0" w:type="dxa"/>
          <w:right w:w="0" w:type="dxa"/>
        </w:tblCellMar>
      </w:tblPr>
      <w:tblGrid>
        <w:gridCol w:w="670"/>
        <w:gridCol w:w="2430"/>
        <w:gridCol w:w="1111"/>
        <w:gridCol w:w="1553"/>
        <w:gridCol w:w="1421"/>
        <w:gridCol w:w="1334"/>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972" w:hRule="atLeast"/>
          <w:tblHeader/>
        </w:trPr>
        <w:tc>
          <w:tcPr>
            <w:tcW w:w="393" w:type="pct"/>
            <w:tcBorders>
              <w:top w:val="single" w:color="333333" w:sz="6" w:space="0"/>
              <w:left w:val="single" w:color="333333" w:sz="6" w:space="0"/>
              <w:bottom w:val="single" w:color="333333" w:sz="6" w:space="0"/>
              <w:right w:val="single" w:color="333333" w:sz="6" w:space="0"/>
            </w:tcBorders>
            <w:tcMar>
              <w:top w:w="75" w:type="dxa"/>
              <w:left w:w="120" w:type="dxa"/>
              <w:bottom w:w="75" w:type="dxa"/>
              <w:right w:w="120" w:type="dxa"/>
            </w:tcMar>
            <w:vAlign w:val="center"/>
          </w:tcPr>
          <w:p>
            <w:pPr>
              <w:widowControl/>
              <w:wordWrap w:val="0"/>
              <w:spacing w:line="360" w:lineRule="atLeast"/>
              <w:jc w:val="center"/>
              <w:textAlignment w:val="center"/>
              <w:rPr>
                <w:b/>
                <w:bCs/>
                <w:szCs w:val="24"/>
              </w:rPr>
            </w:pPr>
            <w:r>
              <w:rPr>
                <w:rFonts w:ascii="宋体" w:cs="宋体"/>
                <w:b/>
                <w:bCs/>
                <w:kern w:val="0"/>
                <w:szCs w:val="24"/>
              </w:rPr>
              <w:t>品目号</w:t>
            </w:r>
          </w:p>
        </w:tc>
        <w:tc>
          <w:tcPr>
            <w:tcW w:w="1426" w:type="pct"/>
            <w:tcBorders>
              <w:top w:val="single" w:color="333333" w:sz="6" w:space="0"/>
              <w:left w:val="single" w:color="333333" w:sz="6" w:space="0"/>
              <w:bottom w:val="single" w:color="333333" w:sz="6" w:space="0"/>
              <w:right w:val="single" w:color="333333" w:sz="6" w:space="0"/>
            </w:tcBorders>
            <w:tcMar>
              <w:top w:w="75" w:type="dxa"/>
              <w:left w:w="120" w:type="dxa"/>
              <w:bottom w:w="75" w:type="dxa"/>
              <w:right w:w="120" w:type="dxa"/>
            </w:tcMar>
            <w:vAlign w:val="center"/>
          </w:tcPr>
          <w:p>
            <w:pPr>
              <w:widowControl/>
              <w:wordWrap w:val="0"/>
              <w:spacing w:line="360" w:lineRule="atLeast"/>
              <w:jc w:val="center"/>
              <w:textAlignment w:val="center"/>
              <w:rPr>
                <w:b/>
                <w:bCs/>
                <w:szCs w:val="24"/>
              </w:rPr>
            </w:pPr>
            <w:r>
              <w:rPr>
                <w:rFonts w:ascii="宋体" w:cs="宋体"/>
                <w:b/>
                <w:bCs/>
                <w:kern w:val="0"/>
                <w:szCs w:val="24"/>
              </w:rPr>
              <w:t>采购标的</w:t>
            </w:r>
          </w:p>
        </w:tc>
        <w:tc>
          <w:tcPr>
            <w:tcW w:w="652" w:type="pct"/>
            <w:tcBorders>
              <w:top w:val="single" w:color="333333" w:sz="6" w:space="0"/>
              <w:left w:val="single" w:color="333333" w:sz="6" w:space="0"/>
              <w:bottom w:val="single" w:color="333333" w:sz="6" w:space="0"/>
              <w:right w:val="single" w:color="333333" w:sz="6" w:space="0"/>
            </w:tcBorders>
            <w:tcMar>
              <w:top w:w="75" w:type="dxa"/>
              <w:left w:w="120" w:type="dxa"/>
              <w:bottom w:w="75" w:type="dxa"/>
              <w:right w:w="120" w:type="dxa"/>
            </w:tcMar>
            <w:vAlign w:val="center"/>
          </w:tcPr>
          <w:p>
            <w:pPr>
              <w:widowControl/>
              <w:wordWrap w:val="0"/>
              <w:spacing w:line="360" w:lineRule="atLeast"/>
              <w:jc w:val="center"/>
              <w:textAlignment w:val="center"/>
              <w:rPr>
                <w:b/>
                <w:bCs/>
                <w:szCs w:val="24"/>
              </w:rPr>
            </w:pPr>
            <w:r>
              <w:rPr>
                <w:rFonts w:ascii="宋体" w:cs="宋体"/>
                <w:b/>
                <w:bCs/>
                <w:kern w:val="0"/>
                <w:szCs w:val="24"/>
              </w:rPr>
              <w:t>数量（单位）</w:t>
            </w:r>
          </w:p>
        </w:tc>
        <w:tc>
          <w:tcPr>
            <w:tcW w:w="911" w:type="pct"/>
            <w:tcBorders>
              <w:top w:val="single" w:color="333333" w:sz="6" w:space="0"/>
              <w:left w:val="single" w:color="333333" w:sz="6" w:space="0"/>
              <w:bottom w:val="single" w:color="333333" w:sz="6" w:space="0"/>
              <w:right w:val="single" w:color="333333" w:sz="6" w:space="0"/>
            </w:tcBorders>
            <w:tcMar>
              <w:top w:w="75" w:type="dxa"/>
              <w:left w:w="120" w:type="dxa"/>
              <w:bottom w:w="75" w:type="dxa"/>
              <w:right w:w="120" w:type="dxa"/>
            </w:tcMar>
            <w:vAlign w:val="center"/>
          </w:tcPr>
          <w:p>
            <w:pPr>
              <w:widowControl/>
              <w:wordWrap w:val="0"/>
              <w:spacing w:line="360" w:lineRule="atLeast"/>
              <w:jc w:val="center"/>
              <w:textAlignment w:val="center"/>
              <w:rPr>
                <w:b/>
                <w:bCs/>
                <w:szCs w:val="24"/>
              </w:rPr>
            </w:pPr>
            <w:r>
              <w:rPr>
                <w:rFonts w:ascii="宋体" w:cs="宋体"/>
                <w:b/>
                <w:bCs/>
                <w:kern w:val="0"/>
                <w:szCs w:val="24"/>
              </w:rPr>
              <w:t>技术规格、参数及要求</w:t>
            </w:r>
          </w:p>
        </w:tc>
        <w:tc>
          <w:tcPr>
            <w:tcW w:w="834" w:type="pct"/>
            <w:tcBorders>
              <w:top w:val="single" w:color="333333" w:sz="6" w:space="0"/>
              <w:left w:val="single" w:color="333333" w:sz="6" w:space="0"/>
              <w:bottom w:val="single" w:color="333333" w:sz="6" w:space="0"/>
              <w:right w:val="single" w:color="333333" w:sz="6" w:space="0"/>
            </w:tcBorders>
            <w:tcMar>
              <w:top w:w="75" w:type="dxa"/>
              <w:left w:w="120" w:type="dxa"/>
              <w:bottom w:w="75" w:type="dxa"/>
              <w:right w:w="120" w:type="dxa"/>
            </w:tcMar>
            <w:vAlign w:val="center"/>
          </w:tcPr>
          <w:p>
            <w:pPr>
              <w:widowControl/>
              <w:wordWrap w:val="0"/>
              <w:spacing w:line="360" w:lineRule="atLeast"/>
              <w:jc w:val="center"/>
              <w:textAlignment w:val="center"/>
              <w:rPr>
                <w:b/>
                <w:bCs/>
                <w:szCs w:val="24"/>
              </w:rPr>
            </w:pPr>
            <w:r>
              <w:rPr>
                <w:rFonts w:ascii="宋体" w:cs="宋体"/>
                <w:b/>
                <w:bCs/>
                <w:kern w:val="0"/>
                <w:szCs w:val="24"/>
              </w:rPr>
              <w:t>品目预算(</w:t>
            </w:r>
            <w:r>
              <w:rPr>
                <w:rFonts w:hint="eastAsia" w:ascii="宋体" w:cs="宋体"/>
                <w:b/>
                <w:bCs/>
                <w:kern w:val="0"/>
                <w:szCs w:val="24"/>
              </w:rPr>
              <w:t>万</w:t>
            </w:r>
            <w:r>
              <w:rPr>
                <w:rFonts w:ascii="宋体" w:cs="宋体"/>
                <w:b/>
                <w:bCs/>
                <w:kern w:val="0"/>
                <w:szCs w:val="24"/>
              </w:rPr>
              <w:t>元)</w:t>
            </w:r>
          </w:p>
        </w:tc>
        <w:tc>
          <w:tcPr>
            <w:tcW w:w="782" w:type="pct"/>
            <w:tcBorders>
              <w:top w:val="single" w:color="333333" w:sz="6" w:space="0"/>
              <w:left w:val="single" w:color="333333" w:sz="6" w:space="0"/>
              <w:bottom w:val="single" w:color="333333" w:sz="6" w:space="0"/>
              <w:right w:val="single" w:color="333333" w:sz="6" w:space="0"/>
            </w:tcBorders>
            <w:tcMar>
              <w:top w:w="75" w:type="dxa"/>
              <w:left w:w="120" w:type="dxa"/>
              <w:bottom w:w="75" w:type="dxa"/>
              <w:right w:w="120" w:type="dxa"/>
            </w:tcMar>
            <w:vAlign w:val="center"/>
          </w:tcPr>
          <w:p>
            <w:pPr>
              <w:widowControl/>
              <w:wordWrap w:val="0"/>
              <w:spacing w:line="360" w:lineRule="atLeast"/>
              <w:jc w:val="center"/>
              <w:textAlignment w:val="center"/>
              <w:rPr>
                <w:b/>
                <w:bCs/>
                <w:szCs w:val="24"/>
              </w:rPr>
            </w:pPr>
            <w:r>
              <w:rPr>
                <w:rFonts w:ascii="宋体" w:cs="宋体"/>
                <w:b/>
                <w:bCs/>
                <w:kern w:val="0"/>
                <w:szCs w:val="24"/>
              </w:rPr>
              <w:t>最高限价(</w:t>
            </w:r>
            <w:r>
              <w:rPr>
                <w:rFonts w:hint="eastAsia" w:ascii="宋体" w:cs="宋体"/>
                <w:b/>
                <w:bCs/>
                <w:kern w:val="0"/>
                <w:szCs w:val="24"/>
              </w:rPr>
              <w:t>万</w:t>
            </w:r>
            <w:r>
              <w:rPr>
                <w:rFonts w:ascii="宋体" w:cs="宋体"/>
                <w:b/>
                <w:bCs/>
                <w:kern w:val="0"/>
                <w:szCs w:val="24"/>
              </w:rPr>
              <w:t>元)</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946" w:hRule="atLeast"/>
        </w:trPr>
        <w:tc>
          <w:tcPr>
            <w:tcW w:w="393" w:type="pct"/>
            <w:tcBorders>
              <w:top w:val="single" w:color="333333" w:sz="6" w:space="0"/>
              <w:left w:val="single" w:color="333333" w:sz="6" w:space="0"/>
              <w:bottom w:val="single" w:color="333333" w:sz="6" w:space="0"/>
              <w:right w:val="single" w:color="333333" w:sz="6" w:space="0"/>
            </w:tcBorders>
            <w:tcMar>
              <w:top w:w="75" w:type="dxa"/>
              <w:left w:w="120" w:type="dxa"/>
              <w:bottom w:w="75" w:type="dxa"/>
              <w:right w:w="120" w:type="dxa"/>
            </w:tcMar>
            <w:vAlign w:val="center"/>
          </w:tcPr>
          <w:p>
            <w:pPr>
              <w:widowControl/>
              <w:wordWrap w:val="0"/>
              <w:spacing w:line="360" w:lineRule="atLeast"/>
              <w:jc w:val="center"/>
              <w:textAlignment w:val="center"/>
              <w:rPr>
                <w:rFonts w:ascii="宋体" w:cs="宋体"/>
                <w:kern w:val="0"/>
                <w:szCs w:val="24"/>
              </w:rPr>
            </w:pPr>
            <w:r>
              <w:rPr>
                <w:rFonts w:ascii="宋体" w:cs="宋体"/>
                <w:kern w:val="0"/>
                <w:szCs w:val="24"/>
              </w:rPr>
              <w:t>1-1</w:t>
            </w:r>
          </w:p>
        </w:tc>
        <w:tc>
          <w:tcPr>
            <w:tcW w:w="1426" w:type="pct"/>
            <w:tcBorders>
              <w:top w:val="single" w:color="333333" w:sz="6" w:space="0"/>
              <w:left w:val="single" w:color="333333" w:sz="6" w:space="0"/>
              <w:bottom w:val="single" w:color="333333" w:sz="6" w:space="0"/>
              <w:right w:val="single" w:color="333333" w:sz="6" w:space="0"/>
            </w:tcBorders>
            <w:tcMar>
              <w:top w:w="75" w:type="dxa"/>
              <w:left w:w="120" w:type="dxa"/>
              <w:bottom w:w="75" w:type="dxa"/>
              <w:right w:w="120" w:type="dxa"/>
            </w:tcMar>
            <w:vAlign w:val="center"/>
          </w:tcPr>
          <w:p>
            <w:pPr>
              <w:adjustRightInd w:val="0"/>
              <w:snapToGrid w:val="0"/>
              <w:spacing w:line="360" w:lineRule="exact"/>
              <w:jc w:val="center"/>
              <w:rPr>
                <w:rFonts w:ascii="宋体" w:cs="宋体"/>
                <w:kern w:val="0"/>
                <w:szCs w:val="24"/>
              </w:rPr>
            </w:pPr>
            <w:r>
              <w:rPr>
                <w:rFonts w:hint="eastAsia"/>
                <w:shd w:val="clear" w:color="auto" w:fill="FFFFFF"/>
              </w:rPr>
              <w:t>广州海关食堂食材配送服务</w:t>
            </w:r>
          </w:p>
        </w:tc>
        <w:tc>
          <w:tcPr>
            <w:tcW w:w="652" w:type="pct"/>
            <w:tcBorders>
              <w:top w:val="single" w:color="333333" w:sz="6" w:space="0"/>
              <w:left w:val="single" w:color="333333" w:sz="6" w:space="0"/>
              <w:bottom w:val="single" w:color="333333" w:sz="6" w:space="0"/>
              <w:right w:val="single" w:color="333333" w:sz="6" w:space="0"/>
            </w:tcBorders>
            <w:tcMar>
              <w:top w:w="75" w:type="dxa"/>
              <w:left w:w="120" w:type="dxa"/>
              <w:bottom w:w="75" w:type="dxa"/>
              <w:right w:w="120" w:type="dxa"/>
            </w:tcMar>
            <w:vAlign w:val="center"/>
          </w:tcPr>
          <w:p>
            <w:pPr>
              <w:widowControl/>
              <w:wordWrap w:val="0"/>
              <w:spacing w:line="360" w:lineRule="atLeast"/>
              <w:jc w:val="center"/>
              <w:textAlignment w:val="center"/>
              <w:rPr>
                <w:rFonts w:ascii="宋体" w:cs="宋体"/>
                <w:kern w:val="0"/>
                <w:szCs w:val="24"/>
              </w:rPr>
            </w:pPr>
            <w:r>
              <w:rPr>
                <w:rFonts w:hint="eastAsia" w:ascii="宋体" w:cs="宋体"/>
                <w:kern w:val="0"/>
                <w:szCs w:val="24"/>
              </w:rPr>
              <w:t>1</w:t>
            </w:r>
            <w:r>
              <w:rPr>
                <w:rFonts w:ascii="宋体" w:cs="宋体"/>
                <w:kern w:val="0"/>
                <w:szCs w:val="24"/>
              </w:rPr>
              <w:t>(</w:t>
            </w:r>
            <w:r>
              <w:rPr>
                <w:rFonts w:hint="eastAsia" w:ascii="宋体" w:cs="宋体"/>
                <w:kern w:val="0"/>
                <w:szCs w:val="24"/>
              </w:rPr>
              <w:t>项</w:t>
            </w:r>
            <w:r>
              <w:rPr>
                <w:rFonts w:ascii="宋体" w:cs="宋体"/>
                <w:kern w:val="0"/>
                <w:szCs w:val="24"/>
              </w:rPr>
              <w:t>)</w:t>
            </w:r>
          </w:p>
        </w:tc>
        <w:tc>
          <w:tcPr>
            <w:tcW w:w="911" w:type="pct"/>
            <w:tcBorders>
              <w:top w:val="single" w:color="333333" w:sz="6" w:space="0"/>
              <w:left w:val="single" w:color="333333" w:sz="6" w:space="0"/>
              <w:bottom w:val="single" w:color="333333" w:sz="6" w:space="0"/>
              <w:right w:val="single" w:color="333333" w:sz="6" w:space="0"/>
            </w:tcBorders>
            <w:tcMar>
              <w:top w:w="75" w:type="dxa"/>
              <w:left w:w="120" w:type="dxa"/>
              <w:bottom w:w="75" w:type="dxa"/>
              <w:right w:w="120" w:type="dxa"/>
            </w:tcMar>
            <w:vAlign w:val="center"/>
          </w:tcPr>
          <w:p>
            <w:pPr>
              <w:widowControl/>
              <w:wordWrap w:val="0"/>
              <w:spacing w:line="360" w:lineRule="atLeast"/>
              <w:jc w:val="center"/>
              <w:textAlignment w:val="center"/>
              <w:rPr>
                <w:rFonts w:ascii="宋体" w:cs="宋体"/>
                <w:kern w:val="0"/>
                <w:szCs w:val="24"/>
              </w:rPr>
            </w:pPr>
            <w:r>
              <w:rPr>
                <w:rFonts w:ascii="宋体" w:cs="宋体"/>
                <w:kern w:val="0"/>
                <w:szCs w:val="24"/>
              </w:rPr>
              <w:t>详见采购文件</w:t>
            </w:r>
          </w:p>
        </w:tc>
        <w:tc>
          <w:tcPr>
            <w:tcW w:w="834" w:type="pct"/>
            <w:tcBorders>
              <w:top w:val="single" w:color="333333" w:sz="6" w:space="0"/>
              <w:left w:val="single" w:color="333333" w:sz="6" w:space="0"/>
              <w:bottom w:val="single" w:color="333333" w:sz="6" w:space="0"/>
              <w:right w:val="single" w:color="333333" w:sz="6" w:space="0"/>
            </w:tcBorders>
            <w:tcMar>
              <w:top w:w="75" w:type="dxa"/>
              <w:left w:w="120" w:type="dxa"/>
              <w:bottom w:w="75" w:type="dxa"/>
              <w:right w:w="120" w:type="dxa"/>
            </w:tcMar>
            <w:vAlign w:val="center"/>
          </w:tcPr>
          <w:p>
            <w:pPr>
              <w:jc w:val="center"/>
              <w:rPr>
                <w:rFonts w:ascii="宋体" w:cs="宋体"/>
                <w:kern w:val="0"/>
                <w:szCs w:val="24"/>
              </w:rPr>
            </w:pPr>
            <w:r>
              <w:rPr>
                <w:rFonts w:hint="eastAsia" w:ascii="宋体" w:cs="宋体"/>
                <w:kern w:val="0"/>
                <w:szCs w:val="24"/>
              </w:rPr>
              <w:t>200</w:t>
            </w:r>
          </w:p>
        </w:tc>
        <w:tc>
          <w:tcPr>
            <w:tcW w:w="782" w:type="pct"/>
            <w:tcBorders>
              <w:top w:val="single" w:color="333333" w:sz="6" w:space="0"/>
              <w:left w:val="single" w:color="333333" w:sz="6" w:space="0"/>
              <w:bottom w:val="single" w:color="333333" w:sz="6" w:space="0"/>
              <w:right w:val="single" w:color="333333" w:sz="6" w:space="0"/>
            </w:tcBorders>
            <w:tcMar>
              <w:top w:w="75" w:type="dxa"/>
              <w:left w:w="120" w:type="dxa"/>
              <w:bottom w:w="75" w:type="dxa"/>
              <w:right w:w="120" w:type="dxa"/>
            </w:tcMar>
            <w:vAlign w:val="center"/>
          </w:tcPr>
          <w:p>
            <w:pPr>
              <w:jc w:val="center"/>
              <w:rPr>
                <w:rFonts w:ascii="宋体" w:cs="宋体"/>
                <w:kern w:val="0"/>
                <w:szCs w:val="24"/>
              </w:rPr>
            </w:pPr>
            <w:r>
              <w:rPr>
                <w:rFonts w:hint="eastAsia" w:ascii="宋体" w:cs="宋体"/>
                <w:kern w:val="0"/>
                <w:szCs w:val="24"/>
              </w:rPr>
              <w:t>200</w:t>
            </w:r>
          </w:p>
        </w:tc>
      </w:tr>
    </w:tbl>
    <w:p>
      <w:pPr>
        <w:pStyle w:val="9"/>
        <w:spacing w:line="360" w:lineRule="auto"/>
        <w:rPr>
          <w:rFonts w:hint="eastAsia" w:ascii="宋体" w:hAnsi="等线" w:eastAsia="宋体" w:cs="宋体"/>
          <w:kern w:val="0"/>
          <w:sz w:val="24"/>
          <w:szCs w:val="24"/>
          <w:shd w:val="clear" w:color="auto" w:fill="FFFFFF"/>
          <w:lang w:val="en-US" w:eastAsia="zh-CN" w:bidi="ar-SA"/>
        </w:rPr>
      </w:pPr>
      <w:r>
        <w:rPr>
          <w:rFonts w:hint="eastAsia" w:ascii="宋体" w:hAnsi="等线" w:eastAsia="宋体" w:cs="宋体"/>
          <w:kern w:val="0"/>
          <w:sz w:val="24"/>
          <w:szCs w:val="24"/>
          <w:shd w:val="clear" w:color="auto" w:fill="FFFFFF"/>
          <w:lang w:val="en-US" w:eastAsia="zh-CN" w:bidi="ar-SA"/>
        </w:rPr>
        <w:t>合同履行期限：自合同签订之日至2026年10月15日或至采购金额累计达到采购预算金额2000000元终止，先到者为准。本项目供货采用分批供货方式，投标人需在采购人发出订单后供货并送至采购人指定地点。采购量是采购人预估用量，在采购人该业务存续期间，采购人按需订货，如采购人业务终止，双方应在30日内对合同履行期间的所有账目进行核对与清算，包括已供货未结算的食材款项等。采购人应在账目核对无误后支付全部应付未付款项，投标人需同时提供符合要求的发票及结算凭证。双方互不承担违约责任。</w:t>
      </w:r>
    </w:p>
    <w:p>
      <w:pPr>
        <w:pStyle w:val="331"/>
        <w:adjustRightInd/>
        <w:snapToGrid w:val="0"/>
        <w:spacing w:line="360" w:lineRule="auto"/>
        <w:textAlignment w:val="auto"/>
        <w:rPr>
          <w:rStyle w:val="33"/>
          <w:rFonts w:cs="宋体"/>
          <w:sz w:val="24"/>
          <w:shd w:val="clear" w:color="auto" w:fill="FFFFFF"/>
        </w:rPr>
      </w:pPr>
      <w:r>
        <w:rPr>
          <w:rStyle w:val="33"/>
          <w:rFonts w:cs="宋体"/>
          <w:sz w:val="24"/>
          <w:shd w:val="clear" w:color="auto" w:fill="FFFFFF"/>
        </w:rPr>
        <w:t>二、投标人的资格要求：</w:t>
      </w:r>
    </w:p>
    <w:p>
      <w:pPr>
        <w:pStyle w:val="24"/>
        <w:rPr>
          <w:shd w:val="clear" w:color="auto" w:fill="FFFFFF"/>
        </w:rPr>
      </w:pPr>
      <w:r>
        <w:rPr>
          <w:rFonts w:hint="eastAsia"/>
          <w:shd w:val="clear" w:color="auto" w:fill="FFFFFF"/>
        </w:rPr>
        <w:t>1.符合《中华人民共和国政府采购法》第二十二条的要求：</w:t>
      </w:r>
    </w:p>
    <w:p>
      <w:pPr>
        <w:pStyle w:val="24"/>
        <w:rPr>
          <w:shd w:val="clear" w:color="auto" w:fill="FFFFFF"/>
        </w:rPr>
      </w:pPr>
      <w:r>
        <w:rPr>
          <w:rFonts w:hint="eastAsia"/>
          <w:shd w:val="clear" w:color="auto" w:fill="FFFFFF"/>
        </w:rPr>
        <w:t>（1）具有独立承担民事责任的能力，提供下列材料：</w:t>
      </w:r>
    </w:p>
    <w:p>
      <w:pPr>
        <w:pStyle w:val="24"/>
        <w:rPr>
          <w:shd w:val="clear" w:color="auto" w:fill="FFFFFF"/>
        </w:rPr>
      </w:pPr>
      <w:r>
        <w:rPr>
          <w:rFonts w:hint="eastAsia"/>
          <w:shd w:val="clear" w:color="auto" w:fill="FFFFFF"/>
        </w:rPr>
        <w:t>依据《投标函》，以及提供以下相关证照的扫描件之一：①企业法人提供企业法人营业执照；②事业法人提供事业法人登记证；③其他组织提供其他组织的营业执照或执业许可证；④自然人提供居民身份证等。分支机构投标的，还须提供分支机构的营业执照（执业许可证）扫描件及总公司（总所）出具给分支机构的授权书。</w:t>
      </w:r>
    </w:p>
    <w:p>
      <w:pPr>
        <w:pStyle w:val="24"/>
        <w:rPr>
          <w:shd w:val="clear" w:color="auto" w:fill="FFFFFF"/>
        </w:rPr>
      </w:pPr>
      <w:r>
        <w:rPr>
          <w:rFonts w:hint="eastAsia"/>
          <w:shd w:val="clear" w:color="auto" w:fill="FFFFFF"/>
        </w:rPr>
        <w:t>（2）有依法缴纳税收和社会保障资金的良好记录：依据《投标函》。</w:t>
      </w:r>
    </w:p>
    <w:p>
      <w:pPr>
        <w:pStyle w:val="24"/>
        <w:rPr>
          <w:shd w:val="clear" w:color="auto" w:fill="FFFFFF"/>
        </w:rPr>
      </w:pPr>
      <w:r>
        <w:rPr>
          <w:rFonts w:hint="eastAsia"/>
          <w:shd w:val="clear" w:color="auto" w:fill="FFFFFF"/>
        </w:rPr>
        <w:t>（3）具有良好的商业信誉和健全的财务会计制度：依据《投标函》。</w:t>
      </w:r>
    </w:p>
    <w:p>
      <w:pPr>
        <w:pStyle w:val="24"/>
        <w:rPr>
          <w:shd w:val="clear" w:color="auto" w:fill="FFFFFF"/>
        </w:rPr>
      </w:pPr>
      <w:r>
        <w:rPr>
          <w:rFonts w:hint="eastAsia"/>
          <w:shd w:val="clear" w:color="auto" w:fill="FFFFFF"/>
        </w:rPr>
        <w:t>（4）履行合同所必需的设备和专业技术能力：依据《投标函》。</w:t>
      </w:r>
    </w:p>
    <w:p>
      <w:pPr>
        <w:pStyle w:val="24"/>
        <w:rPr>
          <w:shd w:val="clear" w:color="auto" w:fill="FFFFFF"/>
        </w:rPr>
      </w:pPr>
      <w:r>
        <w:rPr>
          <w:rFonts w:hint="eastAsia"/>
          <w:shd w:val="clear" w:color="auto" w:fill="FFFFFF"/>
        </w:rPr>
        <w:t>（5）参加采购活动前3年内，在经营活动中没有重大违法记录：依据《投标函》</w:t>
      </w:r>
      <w:r>
        <w:rPr>
          <w:rFonts w:hint="eastAsia"/>
        </w:rPr>
        <w:t>。</w:t>
      </w:r>
    </w:p>
    <w:p>
      <w:pPr>
        <w:pStyle w:val="24"/>
      </w:pPr>
      <w:r>
        <w:rPr>
          <w:rFonts w:hint="eastAsia"/>
          <w:shd w:val="clear" w:color="auto" w:fill="FFFFFF"/>
        </w:rPr>
        <w:t>2.落实政府采购政策需满足的资格要求：</w:t>
      </w:r>
    </w:p>
    <w:p>
      <w:pPr>
        <w:pStyle w:val="24"/>
        <w:rPr>
          <w:shd w:val="clear" w:color="auto" w:fill="FFFFFF"/>
        </w:rPr>
      </w:pPr>
      <w:r>
        <w:rPr>
          <w:rFonts w:hint="eastAsia"/>
          <w:shd w:val="clear" w:color="auto" w:fill="FFFFFF"/>
        </w:rPr>
        <w:t>本项目预留部分采购项目预算专门面向中小企业采购。对于预留份额，提供的服务由符合政策要求的中小企业承接。预留份额通过以下措施进行,投标人可选择以下其中一种方式参与：</w:t>
      </w:r>
    </w:p>
    <w:p>
      <w:pPr>
        <w:pStyle w:val="24"/>
        <w:rPr>
          <w:shd w:val="clear" w:color="auto" w:fill="FFFFFF"/>
        </w:rPr>
      </w:pPr>
      <w:r>
        <w:rPr>
          <w:rFonts w:hint="eastAsia"/>
          <w:shd w:val="clear" w:color="auto" w:fill="FFFFFF"/>
        </w:rPr>
        <w:t>（1）投标人不属于中小企业的，必须将本项目合同分包给一家或者两家中小企业，中小企业承担的合同份额占合同金额的比例达到30%以上（其中预留给小微企业的部分不低于合同金额的18%），接受分包合同的中小企业与分包企业之间不得存在直接控股、管理关系。【依据符合上述比例的分包意向协议书、分包意向协议书上述比例全部服务的承接方的《中小企业声明函》或由省级以上监狱管理局、戒毒管理局(含新疆生产建设兵团)出具的分包意向协议书上述比例的承接方属于监狱企业的证明文件或分包意向协议书上述比例的承接方的《残疾人福利性单位声明函》】。</w:t>
      </w:r>
    </w:p>
    <w:p>
      <w:pPr>
        <w:pStyle w:val="24"/>
        <w:rPr>
          <w:shd w:val="clear" w:color="auto" w:fill="FFFFFF"/>
        </w:rPr>
      </w:pPr>
      <w:r>
        <w:rPr>
          <w:rFonts w:hint="eastAsia"/>
          <w:shd w:val="clear" w:color="auto" w:fill="FFFFFF"/>
        </w:rPr>
        <w:t>（2）投标人属于中型企业的，必须将本项目合同分包给一家小微企业，小微企业承担的合同份额不低于合同金额的18%，接受分包合同的小微企业与分包企业之间不得存在直接控股、管理关系。【依据符合上述比例的分包意向协议书、分包意向协议书上述比例全部服务的承接方的《中小企业声明函》或由省级以上监狱管理局、戒毒管理局(含新疆生产建设兵团)出具的分包意向协议书上述比例的承接方属于监狱企业的证明文件或分包意向协议书上述比例的承接方的《残疾人福利性单位声明函》】。</w:t>
      </w:r>
    </w:p>
    <w:p>
      <w:pPr>
        <w:pStyle w:val="24"/>
        <w:rPr>
          <w:shd w:val="clear" w:color="auto" w:fill="FFFFFF"/>
        </w:rPr>
      </w:pPr>
      <w:r>
        <w:rPr>
          <w:rFonts w:hint="eastAsia"/>
          <w:shd w:val="clear" w:color="auto" w:fill="FFFFFF"/>
        </w:rPr>
        <w:t>（3）投标人属于小微企业的，不允许将合同分包。【依据《中小企业声明函》或由省级以上监狱管理局、戒毒管理局(含新疆生产建设兵团)出具的承接方属于监狱企业的证明文件或承接方的《残疾人福利性单位声明函》】。</w:t>
      </w:r>
    </w:p>
    <w:p>
      <w:pPr>
        <w:pStyle w:val="24"/>
        <w:rPr>
          <w:shd w:val="clear" w:color="auto" w:fill="FFFFFF"/>
        </w:rPr>
      </w:pPr>
      <w:r>
        <w:rPr>
          <w:rFonts w:hint="eastAsia"/>
          <w:shd w:val="clear" w:color="auto" w:fill="FFFFFF"/>
        </w:rPr>
        <w:t>3.本项目的特定资格要求：</w:t>
      </w:r>
    </w:p>
    <w:p>
      <w:pPr>
        <w:pStyle w:val="24"/>
        <w:rPr>
          <w:shd w:val="clear" w:color="auto" w:fill="FFFFFF"/>
        </w:rPr>
      </w:pPr>
      <w:r>
        <w:rPr>
          <w:rFonts w:hint="eastAsia"/>
          <w:shd w:val="clear" w:color="auto" w:fill="FFFFFF"/>
        </w:rPr>
        <w:t>（1）本项目不接受联合体投标。 （2）供应商未被列入“信用中国”网站中“记录失信被执行人或重大税收违法失信主体或政府采购严重违法失信行为”的记录名单；不处于“中国政府采购网”中“政府采购严重违法失信行为信息记录”的禁止参加政府采购活动期间（以采购代理机构或采购人于资格审查时在上述网站查询结果为准，如在上述网站查询结果均显示没有相关记录，视为没有上述不良信用记录。同时对信用信息查询记录和证据截图存档。如相关失信记录已失效，供应商须提供相关证明资料）。 （3）供应商必须符合法律、行政法规规定的其他条件：依据《投标函》。</w:t>
      </w:r>
    </w:p>
    <w:p>
      <w:pPr>
        <w:pStyle w:val="5"/>
        <w:widowControl/>
        <w:spacing w:before="150" w:beforeAutospacing="0" w:afterAutospacing="0" w:line="750" w:lineRule="atLeast"/>
        <w:textAlignment w:val="baseline"/>
        <w:rPr>
          <w:rFonts w:cs="宋体"/>
          <w:b w:val="0"/>
          <w:bCs w:val="0"/>
        </w:rPr>
      </w:pPr>
      <w:r>
        <w:rPr>
          <w:rStyle w:val="33"/>
          <w:rFonts w:cs="宋体"/>
          <w:b/>
          <w:bCs/>
          <w:shd w:val="clear" w:color="auto" w:fill="FFFFFF"/>
        </w:rPr>
        <w:t>三、获取招标文件</w:t>
      </w:r>
    </w:p>
    <w:p>
      <w:pPr>
        <w:pStyle w:val="24"/>
      </w:pPr>
      <w:r>
        <w:rPr>
          <w:rFonts w:hint="eastAsia"/>
          <w:shd w:val="clear" w:color="auto" w:fill="FFFFFF"/>
        </w:rPr>
        <w:t>时间： </w:t>
      </w:r>
      <w:r>
        <w:t>详见招标公告及其变更公告（如有）</w:t>
      </w:r>
    </w:p>
    <w:p>
      <w:pPr>
        <w:pStyle w:val="24"/>
      </w:pPr>
      <w:r>
        <w:rPr>
          <w:rFonts w:hint="eastAsia"/>
          <w:shd w:val="clear" w:color="auto" w:fill="FFFFFF"/>
        </w:rPr>
        <w:t>地点：广州市政府采购中心采购综合管理服务平台网站（https://gcycloud.cn/gateway/gp-auth-center/login?tenantId=ZF_DLJG_000004）</w:t>
      </w:r>
    </w:p>
    <w:p>
      <w:pPr>
        <w:pStyle w:val="24"/>
      </w:pPr>
      <w:r>
        <w:rPr>
          <w:rFonts w:hint="eastAsia"/>
          <w:shd w:val="clear" w:color="auto" w:fill="FFFFFF"/>
        </w:rPr>
        <w:t>方式：在线获取</w:t>
      </w:r>
    </w:p>
    <w:p>
      <w:pPr>
        <w:pStyle w:val="24"/>
      </w:pPr>
      <w:r>
        <w:rPr>
          <w:rFonts w:hint="eastAsia"/>
          <w:shd w:val="clear" w:color="auto" w:fill="FFFFFF"/>
        </w:rPr>
        <w:t>售价：免费获取</w:t>
      </w:r>
    </w:p>
    <w:p>
      <w:pPr>
        <w:pStyle w:val="5"/>
        <w:widowControl/>
        <w:spacing w:before="150" w:beforeAutospacing="0" w:afterAutospacing="0" w:line="750" w:lineRule="atLeast"/>
        <w:textAlignment w:val="baseline"/>
        <w:rPr>
          <w:rFonts w:cs="宋体"/>
          <w:b w:val="0"/>
          <w:bCs w:val="0"/>
        </w:rPr>
      </w:pPr>
      <w:r>
        <w:rPr>
          <w:rStyle w:val="33"/>
          <w:rFonts w:cs="宋体"/>
          <w:b/>
          <w:bCs/>
          <w:shd w:val="clear" w:color="auto" w:fill="FFFFFF"/>
        </w:rPr>
        <w:t>四、提交投标文件截止时间、开标时间和地点</w:t>
      </w:r>
    </w:p>
    <w:p>
      <w:pPr>
        <w:pStyle w:val="24"/>
      </w:pPr>
      <w:r>
        <w:t>提交投标文件截止时间和开标时间：详见招标公告及其变更公告（如有）</w:t>
      </w:r>
    </w:p>
    <w:p>
      <w:pPr>
        <w:pStyle w:val="24"/>
      </w:pPr>
      <w:r>
        <w:t>（自招标文件开始发出之日起至投标人提交投标文件截止之日止，不得少于20日）</w:t>
      </w:r>
    </w:p>
    <w:p>
      <w:pPr>
        <w:pStyle w:val="24"/>
      </w:pPr>
      <w:r>
        <w:rPr>
          <w:rFonts w:hint="eastAsia"/>
          <w:shd w:val="clear" w:color="auto" w:fill="FFFFFF"/>
        </w:rPr>
        <w:t>地点：广州市政府采购中心采购综合管理服务平台网站（https://gcycloud.cn/gateway/gp-auth-center/login?tenantId=ZF_DLJG_000004）</w:t>
      </w:r>
    </w:p>
    <w:p>
      <w:pPr>
        <w:pStyle w:val="5"/>
        <w:widowControl/>
        <w:spacing w:before="150" w:beforeAutospacing="0" w:afterAutospacing="0" w:line="750" w:lineRule="atLeast"/>
        <w:textAlignment w:val="baseline"/>
        <w:rPr>
          <w:rFonts w:cs="宋体"/>
          <w:b w:val="0"/>
          <w:bCs w:val="0"/>
        </w:rPr>
      </w:pPr>
      <w:r>
        <w:rPr>
          <w:rStyle w:val="33"/>
          <w:rFonts w:cs="宋体"/>
          <w:b/>
          <w:bCs/>
          <w:shd w:val="clear" w:color="auto" w:fill="FFFFFF"/>
        </w:rPr>
        <w:t>五、公告期限</w:t>
      </w:r>
    </w:p>
    <w:p>
      <w:pPr>
        <w:pStyle w:val="24"/>
      </w:pPr>
      <w:r>
        <w:rPr>
          <w:rFonts w:hint="eastAsia"/>
          <w:shd w:val="clear" w:color="auto" w:fill="FFFFFF"/>
        </w:rPr>
        <w:t>自本公告发布之日起5个工作日。</w:t>
      </w:r>
    </w:p>
    <w:p>
      <w:pPr>
        <w:pStyle w:val="5"/>
        <w:widowControl/>
        <w:spacing w:before="150" w:beforeAutospacing="0" w:afterAutospacing="0" w:line="750" w:lineRule="atLeast"/>
        <w:textAlignment w:val="baseline"/>
        <w:rPr>
          <w:rFonts w:cs="宋体"/>
          <w:b w:val="0"/>
          <w:bCs w:val="0"/>
        </w:rPr>
      </w:pPr>
      <w:r>
        <w:rPr>
          <w:rStyle w:val="33"/>
          <w:rFonts w:cs="宋体"/>
          <w:b/>
          <w:bCs/>
          <w:shd w:val="clear" w:color="auto" w:fill="FFFFFF"/>
        </w:rPr>
        <w:t>六、其他补充事宜</w:t>
      </w:r>
    </w:p>
    <w:p>
      <w:pPr>
        <w:pStyle w:val="24"/>
      </w:pPr>
      <w:r>
        <w:rPr>
          <w:rFonts w:hint="eastAsia"/>
          <w:shd w:val="clear" w:color="auto" w:fill="FFFFFF"/>
        </w:rPr>
        <w:t>如遇平台操作问题或需技术支持，可通过综合管理服务平台服务电话获取支持，试运行期间技术支持电话: 19124618279。</w:t>
      </w:r>
    </w:p>
    <w:p>
      <w:pPr>
        <w:pStyle w:val="24"/>
      </w:pPr>
      <w:r>
        <w:rPr>
          <w:rFonts w:hint="eastAsia"/>
          <w:shd w:val="clear" w:color="auto" w:fill="FFFFFF"/>
        </w:rPr>
        <w:t>CA数字证书及电子签章：GDCA:95105813，NETCA:020-89524338，CFCA:400-856-3882。</w:t>
      </w:r>
    </w:p>
    <w:p>
      <w:pPr>
        <w:pStyle w:val="5"/>
        <w:widowControl/>
        <w:spacing w:before="150" w:beforeAutospacing="0" w:afterAutospacing="0" w:line="750" w:lineRule="atLeast"/>
        <w:textAlignment w:val="baseline"/>
        <w:rPr>
          <w:rFonts w:cs="宋体"/>
          <w:b w:val="0"/>
          <w:bCs w:val="0"/>
        </w:rPr>
      </w:pPr>
      <w:r>
        <w:rPr>
          <w:rStyle w:val="33"/>
          <w:rFonts w:cs="宋体"/>
          <w:b/>
          <w:bCs/>
          <w:shd w:val="clear" w:color="auto" w:fill="FFFFFF"/>
        </w:rPr>
        <w:t>七、对本次招标提出询问，请按以下方式联系。</w:t>
      </w:r>
    </w:p>
    <w:p>
      <w:pPr>
        <w:pStyle w:val="7"/>
        <w:widowControl/>
        <w:spacing w:beforeAutospacing="0" w:afterAutospacing="0" w:line="360" w:lineRule="auto"/>
        <w:textAlignment w:val="baseline"/>
        <w:rPr>
          <w:b w:val="0"/>
          <w:bCs w:val="0"/>
          <w:sz w:val="24"/>
          <w:szCs w:val="24"/>
        </w:rPr>
      </w:pPr>
      <w:r>
        <w:rPr>
          <w:b w:val="0"/>
          <w:bCs w:val="0"/>
          <w:sz w:val="24"/>
          <w:szCs w:val="24"/>
          <w:shd w:val="clear" w:color="auto" w:fill="FFFFFF"/>
        </w:rPr>
        <w:t>1.采购人信息</w:t>
      </w:r>
    </w:p>
    <w:p>
      <w:pPr>
        <w:pStyle w:val="24"/>
      </w:pPr>
      <w:r>
        <w:rPr>
          <w:rFonts w:hint="eastAsia"/>
          <w:shd w:val="clear" w:color="auto" w:fill="FFFFFF"/>
        </w:rPr>
        <w:t>名称：广州海关后勤管理中心</w:t>
      </w:r>
    </w:p>
    <w:p>
      <w:pPr>
        <w:pStyle w:val="24"/>
      </w:pPr>
      <w:r>
        <w:rPr>
          <w:rFonts w:hint="eastAsia"/>
          <w:shd w:val="clear" w:color="auto" w:fill="FFFFFF"/>
        </w:rPr>
        <w:t>地址：广州市天河区花城大道66号</w:t>
      </w:r>
    </w:p>
    <w:p>
      <w:pPr>
        <w:pStyle w:val="24"/>
        <w:rPr>
          <w:shd w:val="clear" w:color="auto" w:fill="FFFFFF"/>
        </w:rPr>
      </w:pPr>
      <w:r>
        <w:rPr>
          <w:rFonts w:hint="eastAsia"/>
          <w:shd w:val="clear" w:color="auto" w:fill="FFFFFF"/>
        </w:rPr>
        <w:t>项目联系人：胡小姐</w:t>
      </w:r>
    </w:p>
    <w:p>
      <w:pPr>
        <w:pStyle w:val="24"/>
      </w:pPr>
      <w:r>
        <w:rPr>
          <w:rFonts w:hint="eastAsia"/>
          <w:shd w:val="clear" w:color="auto" w:fill="FFFFFF"/>
        </w:rPr>
        <w:t>电话：81102347</w:t>
      </w:r>
    </w:p>
    <w:p>
      <w:pPr>
        <w:pStyle w:val="7"/>
        <w:widowControl/>
        <w:spacing w:beforeAutospacing="0" w:afterAutospacing="0" w:line="360" w:lineRule="auto"/>
        <w:textAlignment w:val="baseline"/>
        <w:rPr>
          <w:b w:val="0"/>
          <w:bCs w:val="0"/>
          <w:sz w:val="24"/>
          <w:szCs w:val="24"/>
        </w:rPr>
      </w:pPr>
      <w:r>
        <w:rPr>
          <w:b w:val="0"/>
          <w:bCs w:val="0"/>
          <w:sz w:val="24"/>
          <w:szCs w:val="24"/>
          <w:shd w:val="clear" w:color="auto" w:fill="FFFFFF"/>
        </w:rPr>
        <w:t>2.采购代理机构信息</w:t>
      </w:r>
    </w:p>
    <w:p>
      <w:pPr>
        <w:pStyle w:val="24"/>
      </w:pPr>
      <w:r>
        <w:rPr>
          <w:rFonts w:hint="eastAsia"/>
          <w:shd w:val="clear" w:color="auto" w:fill="FFFFFF"/>
        </w:rPr>
        <w:t>名称：广州市政府采购中心</w:t>
      </w:r>
    </w:p>
    <w:p>
      <w:pPr>
        <w:pStyle w:val="24"/>
      </w:pPr>
      <w:r>
        <w:rPr>
          <w:rFonts w:hint="eastAsia"/>
          <w:shd w:val="clear" w:color="auto" w:fill="FFFFFF"/>
        </w:rPr>
        <w:t>地址：广东省广州市天润路445号</w:t>
      </w:r>
    </w:p>
    <w:p>
      <w:pPr>
        <w:pStyle w:val="24"/>
      </w:pPr>
      <w:r>
        <w:rPr>
          <w:rFonts w:hint="eastAsia"/>
          <w:shd w:val="clear" w:color="auto" w:fill="FFFFFF"/>
        </w:rPr>
        <w:t>电话：28866462、 28866163</w:t>
      </w:r>
    </w:p>
    <w:p>
      <w:pPr>
        <w:pStyle w:val="7"/>
        <w:widowControl/>
        <w:spacing w:beforeAutospacing="0" w:afterAutospacing="0" w:line="360" w:lineRule="auto"/>
        <w:textAlignment w:val="baseline"/>
        <w:rPr>
          <w:b w:val="0"/>
          <w:bCs w:val="0"/>
          <w:sz w:val="24"/>
          <w:szCs w:val="24"/>
        </w:rPr>
      </w:pPr>
      <w:r>
        <w:rPr>
          <w:b w:val="0"/>
          <w:bCs w:val="0"/>
          <w:sz w:val="24"/>
          <w:szCs w:val="24"/>
          <w:shd w:val="clear" w:color="auto" w:fill="FFFFFF"/>
        </w:rPr>
        <w:t>3.项目联系方式</w:t>
      </w:r>
    </w:p>
    <w:p>
      <w:pPr>
        <w:pStyle w:val="24"/>
      </w:pPr>
      <w:r>
        <w:rPr>
          <w:rFonts w:hint="eastAsia"/>
          <w:shd w:val="clear" w:color="auto" w:fill="FFFFFF"/>
        </w:rPr>
        <w:t>项目联系人：李小姐（采购文件咨询）、何小姐（质疑受理）</w:t>
      </w:r>
    </w:p>
    <w:p>
      <w:pPr>
        <w:pStyle w:val="24"/>
      </w:pPr>
      <w:r>
        <w:rPr>
          <w:rFonts w:hint="eastAsia"/>
          <w:shd w:val="clear" w:color="auto" w:fill="FFFFFF"/>
        </w:rPr>
        <w:t>电话：28866462、 28866163</w:t>
      </w:r>
    </w:p>
    <w:p>
      <w:pPr>
        <w:pStyle w:val="24"/>
      </w:pPr>
      <w:r>
        <w:rPr>
          <w:rFonts w:hint="eastAsia"/>
          <w:shd w:val="clear" w:color="auto" w:fill="FFFFFF"/>
        </w:rPr>
        <w:t xml:space="preserve">                                               广州市政府采购中心</w:t>
      </w:r>
    </w:p>
    <w:p>
      <w:pPr>
        <w:pStyle w:val="24"/>
        <w:rPr>
          <w:rStyle w:val="33"/>
          <w:b w:val="0"/>
          <w:bCs w:val="0"/>
          <w:sz w:val="30"/>
          <w:szCs w:val="30"/>
        </w:rPr>
      </w:pPr>
      <w:r>
        <w:rPr>
          <w:rFonts w:hint="eastAsia"/>
          <w:shd w:val="clear" w:color="auto" w:fill="FFFFFF"/>
        </w:rPr>
        <w:t xml:space="preserve">                                               202</w:t>
      </w:r>
      <w:r>
        <w:rPr>
          <w:rFonts w:hint="eastAsia"/>
          <w:shd w:val="clear" w:color="auto" w:fill="FFFFFF"/>
          <w:lang w:val="en-US" w:eastAsia="zh-CN"/>
        </w:rPr>
        <w:t>6</w:t>
      </w:r>
      <w:r>
        <w:rPr>
          <w:rFonts w:hint="eastAsia"/>
          <w:shd w:val="clear" w:color="auto" w:fill="FFFFFF"/>
        </w:rPr>
        <w:t>年</w:t>
      </w:r>
      <w:r>
        <w:rPr>
          <w:rFonts w:hint="eastAsia"/>
          <w:shd w:val="clear" w:color="auto" w:fill="FFFFFF"/>
          <w:lang w:val="en-US" w:eastAsia="zh-CN"/>
        </w:rPr>
        <w:t>3</w:t>
      </w:r>
      <w:r>
        <w:rPr>
          <w:rFonts w:hint="eastAsia"/>
          <w:shd w:val="clear" w:color="auto" w:fill="FFFFFF"/>
        </w:rPr>
        <w:t>月</w:t>
      </w:r>
      <w:r>
        <w:rPr>
          <w:rFonts w:hint="eastAsia"/>
          <w:shd w:val="clear" w:color="auto" w:fill="FFFFFF"/>
          <w:lang w:val="en-US" w:eastAsia="zh-CN"/>
        </w:rPr>
        <w:t>9</w:t>
      </w:r>
      <w:r>
        <w:rPr>
          <w:rFonts w:hint="eastAsia"/>
          <w:shd w:val="clear" w:color="auto" w:fill="FFFFFF"/>
        </w:rPr>
        <w:t>日</w:t>
      </w:r>
    </w:p>
    <w:p>
      <w:pPr>
        <w:rPr>
          <w:rStyle w:val="33"/>
          <w:rFonts w:hint="eastAsia"/>
          <w:b/>
          <w:bCs/>
          <w:sz w:val="30"/>
          <w:szCs w:val="30"/>
        </w:rPr>
      </w:pPr>
      <w:r>
        <w:rPr>
          <w:rStyle w:val="33"/>
          <w:rFonts w:hint="eastAsia"/>
          <w:b/>
          <w:bCs/>
          <w:sz w:val="30"/>
          <w:szCs w:val="30"/>
        </w:rPr>
        <w:br w:type="page"/>
      </w:r>
    </w:p>
    <w:p>
      <w:pPr>
        <w:pStyle w:val="2"/>
        <w:spacing w:line="360" w:lineRule="atLeast"/>
        <w:jc w:val="center"/>
        <w:rPr>
          <w:b w:val="0"/>
          <w:bCs w:val="0"/>
        </w:rPr>
      </w:pPr>
      <w:r>
        <w:rPr>
          <w:rStyle w:val="33"/>
          <w:rFonts w:hint="eastAsia"/>
          <w:b/>
          <w:bCs/>
          <w:sz w:val="30"/>
          <w:szCs w:val="30"/>
        </w:rPr>
        <w:t>第一章</w:t>
      </w:r>
      <w:r>
        <w:rPr>
          <w:rStyle w:val="33"/>
          <w:b/>
          <w:bCs/>
          <w:sz w:val="30"/>
          <w:szCs w:val="30"/>
        </w:rPr>
        <w:t xml:space="preserve">  </w:t>
      </w:r>
      <w:r>
        <w:rPr>
          <w:rStyle w:val="33"/>
          <w:rFonts w:hint="eastAsia"/>
          <w:b/>
          <w:bCs/>
          <w:sz w:val="30"/>
          <w:szCs w:val="30"/>
        </w:rPr>
        <w:t>投标人须知</w:t>
      </w:r>
    </w:p>
    <w:p>
      <w:pPr>
        <w:pStyle w:val="24"/>
        <w:rPr>
          <w:shd w:val="clear" w:color="auto" w:fill="FFFFFF"/>
        </w:rPr>
      </w:pPr>
      <w:r>
        <w:rPr>
          <w:rFonts w:hint="eastAsia"/>
          <w:shd w:val="clear" w:color="auto" w:fill="FFFFFF"/>
        </w:rPr>
        <w:t>投标人必须认真阅读招标文件中所有的事项、格式、条款和采购需求等。投标人没有按照招标文件要求提交全部资料，或者投标文件没有对招标文件在各方面都做出实质性响应的可能导致其投标无效或被拒绝。</w:t>
      </w:r>
    </w:p>
    <w:p>
      <w:pPr>
        <w:pStyle w:val="24"/>
      </w:pPr>
      <w:r>
        <w:rPr>
          <w:rStyle w:val="33"/>
          <w:rFonts w:hint="eastAsia" w:ascii="Times New Roman" w:hAnsi="Times New Roman" w:cs="Times New Roman"/>
          <w:shd w:val="clear" w:color="auto" w:fill="FFFFFF"/>
        </w:rPr>
        <w:t>一、名称解释</w:t>
      </w:r>
    </w:p>
    <w:p>
      <w:pPr>
        <w:pStyle w:val="24"/>
        <w:rPr>
          <w:shd w:val="clear" w:color="auto" w:fill="FFFFFF"/>
        </w:rPr>
      </w:pPr>
      <w:r>
        <w:rPr>
          <w:rFonts w:hint="eastAsia"/>
          <w:shd w:val="clear" w:color="auto" w:fill="FFFFFF"/>
        </w:rPr>
        <w:t>（一）采购代理机构：本项目是指广州市政府采购中心，负责整个采购活动的组织，依法负责编制和发布招标文件，对招标文件拥有最终的解释权，不以任何身份出任评标委员会成员。</w:t>
      </w:r>
    </w:p>
    <w:p>
      <w:pPr>
        <w:pStyle w:val="24"/>
        <w:rPr>
          <w:shd w:val="clear" w:color="auto" w:fill="FFFFFF"/>
        </w:rPr>
      </w:pPr>
      <w:r>
        <w:rPr>
          <w:rFonts w:hint="eastAsia"/>
          <w:shd w:val="clear" w:color="auto" w:fill="FFFFFF"/>
        </w:rPr>
        <w:t>（二）采购人：本项目是指广州海关后勤管理中心，是采购活动当事人之一，负责项目的整体规划、技术方案可行性设计论证与实施，作为合同采购方（用户）的主体承担质疑回复、履行合同、验收与评价等义务。</w:t>
      </w:r>
    </w:p>
    <w:p>
      <w:pPr>
        <w:pStyle w:val="24"/>
        <w:rPr>
          <w:shd w:val="clear" w:color="auto" w:fill="FFFFFF"/>
        </w:rPr>
      </w:pPr>
      <w:r>
        <w:rPr>
          <w:rFonts w:hint="eastAsia"/>
          <w:shd w:val="clear" w:color="auto" w:fill="FFFFFF"/>
        </w:rPr>
        <w:t>（三）投标人：是指在广州市政府采购中心采购综合管理服务平台网站完成本项目投标登记并提交电子投标文件的供应商。</w:t>
      </w:r>
    </w:p>
    <w:p>
      <w:pPr>
        <w:pStyle w:val="24"/>
        <w:rPr>
          <w:shd w:val="clear" w:color="auto" w:fill="FFFFFF"/>
        </w:rPr>
      </w:pPr>
      <w:r>
        <w:rPr>
          <w:rFonts w:hint="eastAsia"/>
          <w:shd w:val="clear" w:color="auto" w:fill="FFFFFF"/>
        </w:rPr>
        <w:t>（四）评标委员会：是指根据《中华人民共和国政府采购法》等法律法规规定，由采购人代表和有关专家组成以确定中标人或者推荐中标候选人的临时组织。</w:t>
      </w:r>
    </w:p>
    <w:p>
      <w:pPr>
        <w:pStyle w:val="24"/>
        <w:rPr>
          <w:shd w:val="clear" w:color="auto" w:fill="FFFFFF"/>
        </w:rPr>
      </w:pPr>
      <w:r>
        <w:rPr>
          <w:rFonts w:hint="eastAsia"/>
          <w:shd w:val="clear" w:color="auto" w:fill="FFFFFF"/>
        </w:rPr>
        <w:t>（五）中标人：是指经评标委员会评审确定的对招标文件做出实质性响应，经采购人按照规定在评标委员会推荐的中标候选人中确定的或评标委员会受采购人委托直接确认的投标人。</w:t>
      </w:r>
    </w:p>
    <w:p>
      <w:pPr>
        <w:pStyle w:val="24"/>
        <w:rPr>
          <w:shd w:val="clear" w:color="auto" w:fill="FFFFFF"/>
        </w:rPr>
      </w:pPr>
      <w:r>
        <w:rPr>
          <w:rFonts w:hint="eastAsia"/>
          <w:shd w:val="clear" w:color="auto" w:fill="FFFFFF"/>
        </w:rPr>
        <w:t>（六）招标文件：是指包括招标公告和招标文件及其补充、变更和澄清等一系列文件。</w:t>
      </w:r>
    </w:p>
    <w:p>
      <w:pPr>
        <w:pStyle w:val="24"/>
        <w:rPr>
          <w:shd w:val="clear" w:color="auto" w:fill="FFFFFF"/>
        </w:rPr>
      </w:pPr>
      <w:r>
        <w:rPr>
          <w:rFonts w:hint="eastAsia"/>
          <w:shd w:val="clear" w:color="auto" w:fill="FFFFFF"/>
        </w:rPr>
        <w:t>（七）电子投标文件：是指使用市政府采购中心提供的投标文件管理软件制作的投标文件。</w:t>
      </w:r>
    </w:p>
    <w:p>
      <w:pPr>
        <w:pStyle w:val="24"/>
        <w:rPr>
          <w:shd w:val="clear" w:color="auto" w:fill="FFFFFF"/>
        </w:rPr>
      </w:pPr>
      <w:r>
        <w:rPr>
          <w:rFonts w:hint="eastAsia"/>
          <w:shd w:val="clear" w:color="auto" w:fill="FFFFFF"/>
        </w:rPr>
        <w:t>（八）电子签名和电子签章：是指广东省内依法设立的电子认证服务机构签发的电子签名认证证书和电子签章，供应商应当到上述服务机构办理。电子签名及电子签章与手写签名或者盖章具有同等的法律效力。</w:t>
      </w:r>
    </w:p>
    <w:p>
      <w:pPr>
        <w:pStyle w:val="24"/>
        <w:rPr>
          <w:shd w:val="clear" w:color="auto" w:fill="FFFFFF"/>
        </w:rPr>
      </w:pPr>
      <w:r>
        <w:rPr>
          <w:rFonts w:hint="eastAsia"/>
          <w:shd w:val="clear" w:color="auto" w:fill="FFFFFF"/>
        </w:rPr>
        <w:t>（九）日期、天数、时间：未有特别说明时，均为公历日（天）及北京时间。</w:t>
      </w:r>
    </w:p>
    <w:p>
      <w:pPr>
        <w:pStyle w:val="24"/>
        <w:rPr>
          <w:shd w:val="clear" w:color="auto" w:fill="FFFFFF"/>
        </w:rPr>
      </w:pPr>
      <w:r>
        <w:rPr>
          <w:rFonts w:hint="eastAsia"/>
          <w:shd w:val="clear" w:color="auto" w:fill="FFFFFF"/>
        </w:rPr>
        <w:t>（十）采购信息发布网站：</w:t>
      </w:r>
    </w:p>
    <w:p>
      <w:pPr>
        <w:pStyle w:val="24"/>
        <w:rPr>
          <w:shd w:val="clear" w:color="auto" w:fill="FFFFFF"/>
        </w:rPr>
      </w:pPr>
      <w:r>
        <w:rPr>
          <w:rFonts w:hint="eastAsia"/>
          <w:shd w:val="clear" w:color="auto" w:fill="FFFFFF"/>
        </w:rPr>
        <w:t xml:space="preserve">中国政府采购网（www.ccgp.gov.cn）和广州市政采中心采购综合管理服务平台网站（https://gzzfcg.gcycloud.cn/site/gzsaas/index.html）。 </w:t>
      </w:r>
    </w:p>
    <w:p>
      <w:pPr>
        <w:pStyle w:val="24"/>
      </w:pPr>
      <w:r>
        <w:rPr>
          <w:rStyle w:val="33"/>
          <w:rFonts w:hint="eastAsia" w:ascii="Times New Roman" w:hAnsi="Times New Roman" w:cs="Times New Roman"/>
          <w:shd w:val="clear" w:color="auto" w:fill="FFFFFF"/>
        </w:rPr>
        <w:t>二、一般要求</w:t>
      </w:r>
    </w:p>
    <w:p>
      <w:pPr>
        <w:pStyle w:val="24"/>
      </w:pPr>
      <w:r>
        <w:rPr>
          <w:rStyle w:val="33"/>
          <w:rFonts w:hint="eastAsia" w:ascii="Times New Roman" w:hAnsi="Times New Roman" w:cs="Times New Roman"/>
          <w:shd w:val="clear" w:color="auto" w:fill="FFFFFF"/>
        </w:rPr>
        <w:t>（一）投标的费用</w:t>
      </w:r>
    </w:p>
    <w:p>
      <w:pPr>
        <w:pStyle w:val="24"/>
        <w:rPr>
          <w:shd w:val="clear" w:color="auto" w:fill="FFFFFF"/>
        </w:rPr>
      </w:pPr>
      <w:r>
        <w:rPr>
          <w:rFonts w:hint="eastAsia"/>
          <w:shd w:val="clear" w:color="auto" w:fill="FFFFFF"/>
        </w:rPr>
        <w:t>1.不论投标的结果如何，投标人应承担所有与编写和提交投标文件有关的费用。</w:t>
      </w:r>
    </w:p>
    <w:p>
      <w:pPr>
        <w:pStyle w:val="24"/>
        <w:rPr>
          <w:shd w:val="clear" w:color="auto" w:fill="FFFFFF"/>
        </w:rPr>
      </w:pPr>
      <w:r>
        <w:rPr>
          <w:rFonts w:hint="eastAsia"/>
          <w:shd w:val="clear" w:color="auto" w:fill="FFFFFF"/>
        </w:rPr>
        <w:t>2.采购人委托中标人支付公共资源交易服务费，其报价中须包含公共资源交易服务费。由中标人支付公共资源交易服务费后，采购人、中标人方可下载打印电子《中标通知书》。</w:t>
      </w:r>
    </w:p>
    <w:p>
      <w:pPr>
        <w:pStyle w:val="24"/>
        <w:rPr>
          <w:shd w:val="clear" w:color="auto" w:fill="FFFFFF"/>
        </w:rPr>
      </w:pPr>
      <w:r>
        <w:rPr>
          <w:rFonts w:hint="eastAsia"/>
          <w:shd w:val="clear" w:color="auto" w:fill="FFFFFF"/>
        </w:rPr>
        <w:t>3.公共资源交易服务费收费标准</w:t>
      </w:r>
    </w:p>
    <w:p>
      <w:pPr>
        <w:pStyle w:val="24"/>
        <w:rPr>
          <w:shd w:val="clear" w:color="auto" w:fill="FFFFFF"/>
        </w:rPr>
      </w:pPr>
      <w:r>
        <w:rPr>
          <w:rFonts w:hint="eastAsia"/>
          <w:shd w:val="clear" w:color="auto" w:fill="FFFFFF"/>
        </w:rPr>
        <w:t>本项目为未纳入集中采购目录的项目。</w:t>
      </w:r>
    </w:p>
    <w:p>
      <w:pPr>
        <w:pStyle w:val="24"/>
        <w:rPr>
          <w:shd w:val="clear" w:color="auto" w:fill="FFFFFF"/>
        </w:rPr>
      </w:pPr>
      <w:r>
        <w:rPr>
          <w:rFonts w:hint="eastAsia"/>
          <w:shd w:val="clear" w:color="auto" w:fill="FFFFFF"/>
        </w:rPr>
        <w:t>公共资源交易服务费按《广州市政府采购中心关于代理采购类项目公共资源交易服务费收费标准的通知》（http://www.gzggzy.cn/jtgg/874864.jhtml）执行，本项目的公共资源交易服务费由中标人向广州市政府采购中心支付。</w:t>
      </w:r>
    </w:p>
    <w:p>
      <w:pPr>
        <w:pStyle w:val="24"/>
        <w:rPr>
          <w:shd w:val="clear" w:color="auto" w:fill="FFFFFF"/>
        </w:rPr>
      </w:pPr>
      <w:r>
        <w:rPr>
          <w:rFonts w:hint="eastAsia"/>
          <w:shd w:val="clear" w:color="auto" w:fill="FFFFFF"/>
        </w:rPr>
        <w:t>4. 公共资源交易服务费支付方式</w:t>
      </w:r>
    </w:p>
    <w:p>
      <w:pPr>
        <w:spacing w:line="360" w:lineRule="auto"/>
        <w:ind w:firstLine="573" w:firstLineChars="239"/>
        <w:rPr>
          <w:rFonts w:ascii="宋体" w:cs="Times New Roman"/>
          <w:szCs w:val="24"/>
        </w:rPr>
      </w:pPr>
      <w:r>
        <w:rPr>
          <w:rFonts w:hint="eastAsia" w:ascii="宋体" w:cs="Times New Roman"/>
          <w:szCs w:val="24"/>
        </w:rPr>
        <w:t>不论投标的结果如何，投标人应承担所有与编写和提交投标文件有关的费用。中标人可选用以下两种方式支付公共资源交易服务费：（1）现场支付：中标人携现金前往天润路333号广州交易集团西侧建设银行天润路支行交款，交款后前往天润路333号广州交易集团一楼大厅44号财务专窗办理支付确认。（2）汇款支付：中标人将公共资源交易服务费转账（汇款）至公共资源交易服务费结算账户（如下所示）后，由财务专窗人员在第二个工作日进行核对并确认支付，或由中标人凭转账（汇款）凭证前往天润路333号广州交易集团一楼大厅44号财务专窗办理支付确认。公共资源交易服务费结算账户信息：收款单位：广州市政府采购中心，开户银行：中国建设银行广州天润路支行，账号：44050158340409202288（注：使用汇款支付过程中，请在摘要或用途中注明项目编号交易服务费，例如：CZ2025-0001交易服务费。）（3）公共资源交易服务费以采购额按差额定率累进法计算。详见《广州市政府采购中心关于代理采购类项目公共资源交易服务费收费标准的通知》（http://www.gzggzy.cn/jtgg/874864.jhtml）（注：本项目为未纳入集中采购目录的项目，采购额为预算金额。）</w:t>
      </w:r>
    </w:p>
    <w:p>
      <w:pPr>
        <w:pStyle w:val="24"/>
      </w:pPr>
      <w:r>
        <w:rPr>
          <w:rStyle w:val="33"/>
          <w:rFonts w:hint="eastAsia" w:ascii="Times New Roman" w:hAnsi="Times New Roman" w:cs="Times New Roman"/>
          <w:shd w:val="clear" w:color="auto" w:fill="FFFFFF"/>
        </w:rPr>
        <w:t>（二）招标文件的澄清和修改</w:t>
      </w:r>
    </w:p>
    <w:p>
      <w:pPr>
        <w:pStyle w:val="24"/>
        <w:rPr>
          <w:shd w:val="clear" w:color="auto" w:fill="FFFFFF"/>
        </w:rPr>
      </w:pPr>
      <w:r>
        <w:rPr>
          <w:rFonts w:hint="eastAsia"/>
          <w:shd w:val="clear" w:color="auto" w:fill="FFFFFF"/>
        </w:rPr>
        <w:t>1.采购代理机构对招标文件进行必要的澄清或者修改的，在采购信息发布网站上发布更正公告。澄清或者修改的内容可能影响投标文件编制的，更正公告在投标截止时间至少15日前发出；不足15日的，采购代理机构顺延提交投标文件截止时间。</w:t>
      </w:r>
    </w:p>
    <w:p>
      <w:pPr>
        <w:pStyle w:val="24"/>
        <w:rPr>
          <w:shd w:val="clear" w:color="auto" w:fill="FFFFFF"/>
        </w:rPr>
      </w:pPr>
      <w:r>
        <w:rPr>
          <w:rFonts w:hint="eastAsia"/>
          <w:shd w:val="clear" w:color="auto" w:fill="FFFFFF"/>
        </w:rPr>
        <w:t>2.更正公告为招标文件的组成部分，一经在采购代理机构网站发布，系统将自动通过电子邮件方式发送给已在采购代理机构网站会员专区进行项目投标登记的供应商，视同已通知所有招标文件的收受人。</w:t>
      </w:r>
    </w:p>
    <w:p>
      <w:pPr>
        <w:pStyle w:val="24"/>
        <w:rPr>
          <w:shd w:val="clear" w:color="auto" w:fill="FFFFFF"/>
        </w:rPr>
      </w:pPr>
      <w:r>
        <w:rPr>
          <w:rFonts w:hint="eastAsia"/>
          <w:shd w:val="clear" w:color="auto" w:fill="FFFFFF"/>
        </w:rPr>
        <w:t>3.如更正公告有重新发布电子招标文件的，供应商应下载最新发布的电子招标文件制作投标文件。</w:t>
      </w:r>
    </w:p>
    <w:p>
      <w:pPr>
        <w:pStyle w:val="24"/>
        <w:rPr>
          <w:shd w:val="clear" w:color="auto" w:fill="FFFFFF"/>
        </w:rPr>
      </w:pPr>
      <w:r>
        <w:rPr>
          <w:rFonts w:hint="eastAsia"/>
          <w:shd w:val="clear" w:color="auto" w:fill="FFFFFF"/>
        </w:rPr>
        <w:t>4.投标人在规定的时间内未对招标文件提出疑问、质疑或要求澄清的，将视其为无异议。对招标文件中描述有歧义或前后不一致的地方，评标委员会有权进行评判，但对同一条款的评判应适用于每个投标人。</w:t>
      </w:r>
    </w:p>
    <w:p>
      <w:pPr>
        <w:pStyle w:val="24"/>
        <w:rPr>
          <w:shd w:val="clear" w:color="auto" w:fill="FFFFFF"/>
        </w:rPr>
      </w:pPr>
      <w:r>
        <w:rPr>
          <w:rStyle w:val="33"/>
          <w:rFonts w:hint="eastAsia" w:ascii="Times New Roman" w:hAnsi="Times New Roman" w:cs="Times New Roman"/>
          <w:shd w:val="clear" w:color="auto" w:fill="FFFFFF"/>
        </w:rPr>
        <w:t>（三）关于联合体投标、关联企业</w:t>
      </w:r>
    </w:p>
    <w:p>
      <w:pPr>
        <w:pStyle w:val="24"/>
        <w:rPr>
          <w:shd w:val="clear" w:color="auto" w:fill="FFFFFF"/>
        </w:rPr>
      </w:pPr>
      <w:r>
        <w:rPr>
          <w:rFonts w:hint="eastAsia"/>
          <w:shd w:val="clear" w:color="auto" w:fill="FFFFFF"/>
        </w:rPr>
        <w:t>1. 本项目不接受联合体投标。</w:t>
      </w:r>
    </w:p>
    <w:p>
      <w:pPr>
        <w:pStyle w:val="24"/>
        <w:rPr>
          <w:shd w:val="clear" w:color="auto" w:fill="FFFFFF"/>
        </w:rPr>
      </w:pPr>
      <w:r>
        <w:rPr>
          <w:rFonts w:hint="eastAsia"/>
          <w:shd w:val="clear" w:color="auto" w:fill="FFFFFF"/>
        </w:rPr>
        <w:t>2. 关联企业投标说明：</w:t>
      </w:r>
    </w:p>
    <w:p>
      <w:pPr>
        <w:pStyle w:val="24"/>
        <w:rPr>
          <w:shd w:val="clear" w:color="auto" w:fill="FFFFFF"/>
        </w:rPr>
      </w:pPr>
      <w:r>
        <w:rPr>
          <w:rFonts w:hint="eastAsia"/>
          <w:shd w:val="clear" w:color="auto" w:fill="FFFFFF"/>
        </w:rPr>
        <w:t>（1）对于不接受联合体投标的采购项目（采购包）：法定代表人或单位负责人为同一个人或者存在直接控股、管理关系的不同供应商，不得同时参加同一项目或同一采购包的投标。如同时参加，则其投标将被拒绝。</w:t>
      </w:r>
    </w:p>
    <w:p>
      <w:pPr>
        <w:pStyle w:val="24"/>
        <w:rPr>
          <w:shd w:val="clear" w:color="auto" w:fill="FFFFFF"/>
        </w:rPr>
      </w:pPr>
      <w:r>
        <w:rPr>
          <w:rFonts w:hint="eastAsia"/>
          <w:shd w:val="clear" w:color="auto" w:fill="FFFFFF"/>
        </w:rPr>
        <w:t>（2）对于接受联合体投标的采购项目（采购包）：除联合体外，法定代表人或单位负责人为同一个人或者存在直接控股、管理关系的不同供应商，不得同时参加同一项目或同一采购包的投标。如同时参加，则评审时将同时被拒绝。</w:t>
      </w:r>
    </w:p>
    <w:p>
      <w:pPr>
        <w:pStyle w:val="24"/>
      </w:pPr>
      <w:r>
        <w:rPr>
          <w:rStyle w:val="33"/>
          <w:rFonts w:hint="eastAsia" w:ascii="Times New Roman" w:hAnsi="Times New Roman" w:cs="Times New Roman"/>
          <w:shd w:val="clear" w:color="auto" w:fill="FFFFFF"/>
        </w:rPr>
        <w:t>  （四）关于分支机构投标</w:t>
      </w:r>
    </w:p>
    <w:p>
      <w:pPr>
        <w:pStyle w:val="24"/>
        <w:rPr>
          <w:shd w:val="clear" w:color="auto" w:fill="FFFFFF"/>
        </w:rPr>
      </w:pPr>
      <w:r>
        <w:rPr>
          <w:rFonts w:hint="eastAsia"/>
          <w:shd w:val="clear" w:color="auto" w:fill="FFFFFF"/>
        </w:rPr>
        <w:t>1.</w:t>
      </w:r>
      <w:r>
        <w:rPr>
          <w:shd w:val="clear" w:color="auto" w:fill="FFFFFF"/>
        </w:rPr>
        <w:t>对接受分支机构投标的项目，分支机构投标的，须提供分支机构的营业执照（执业许可证）扫描件及总公司（总所）出具给分支机构的授权书，授权书须加盖总公司（总所）公章。总公司（总所）可就本项目或此类项目在一定范围或时间内出具授权书。已由总公司（总所）授权的，总公司（总所）取得的相关资质证书对分支机构有效，法律法规或者行业另有规定的除外。依法设立登记的分支机构以自己的名义参加政府采购活动，产生的民事责任由法人承担。</w:t>
      </w:r>
    </w:p>
    <w:p>
      <w:pPr>
        <w:rPr>
          <w:rFonts w:ascii="宋体"/>
        </w:rPr>
      </w:pPr>
      <w:r>
        <w:rPr>
          <w:rStyle w:val="33"/>
          <w:rFonts w:hint="eastAsia" w:ascii="Times New Roman" w:hAnsi="Times New Roman" w:cs="Times New Roman"/>
          <w:shd w:val="clear" w:color="auto" w:fill="FFFFFF"/>
        </w:rPr>
        <w:t>  （五）关于提供前期服务的供应商</w:t>
      </w:r>
    </w:p>
    <w:p>
      <w:pPr>
        <w:pStyle w:val="24"/>
        <w:rPr>
          <w:shd w:val="clear" w:color="auto" w:fill="FFFFFF"/>
        </w:rPr>
      </w:pPr>
      <w:r>
        <w:rPr>
          <w:rFonts w:hint="eastAsia"/>
          <w:shd w:val="clear" w:color="auto" w:fill="FFFFFF"/>
        </w:rPr>
        <w:t>1.为采购项目提供整体设计、规范编制或者项目管理、监理、检测等服务的供应商，不得再参加该采购项目的其他采购活动。</w:t>
      </w:r>
    </w:p>
    <w:p>
      <w:pPr>
        <w:pStyle w:val="24"/>
      </w:pPr>
      <w:r>
        <w:rPr>
          <w:rStyle w:val="33"/>
          <w:rFonts w:hint="eastAsia" w:ascii="Times New Roman" w:hAnsi="Times New Roman" w:cs="Times New Roman"/>
          <w:shd w:val="clear" w:color="auto" w:fill="FFFFFF"/>
        </w:rPr>
        <w:t>  （六）关于中小微企业投标</w:t>
      </w:r>
    </w:p>
    <w:p>
      <w:pPr>
        <w:pStyle w:val="24"/>
        <w:rPr>
          <w:shd w:val="clear" w:color="auto" w:fill="FFFFFF"/>
        </w:rPr>
      </w:pPr>
      <w:r>
        <w:rPr>
          <w:shd w:val="clear" w:color="auto" w:fill="FFFFFF"/>
        </w:rPr>
        <w:t>1.中小微企业响应是指在政府采购活动中，供应商提供的货物均由中小微企业制造、工程均由中小微企业承建或者服务均由中小微企业承接，并在响应文件中提供《中小企业声明函》。本条款所称中小微企业，是指在中华人民共和国境内依法设立，依据国务院批准的中小企业划分标准确定的中型企业、小型企业和微型企业，但与大企业的负责人为同一人，或者与大企业存在直接控股、管理关系的除外。符合中小企业划分标准的个体工商户，在政府采购活动中视同中小企业。 中小企业划分见《关于印发中小企业划型标准规定的通知》（工信部联企业〔2011〕300号) 。</w:t>
      </w:r>
    </w:p>
    <w:p>
      <w:pPr>
        <w:pStyle w:val="24"/>
        <w:rPr>
          <w:shd w:val="clear" w:color="auto" w:fill="FFFFFF"/>
        </w:rPr>
      </w:pPr>
      <w:r>
        <w:rPr>
          <w:shd w:val="clear" w:color="auto" w:fill="FFFFFF"/>
        </w:rPr>
        <w:t>2.根据财库〔2014〕68号《财政部 司法部关于政府采购支持监狱企业发展有关问题的通知》，监狱企业视同小微企业。监狱企业是指由司法部认定的为罪犯、戒毒人员提供生产项目和劳动对象，且全部产权属于司法部监狱管理局、戒毒管理局、直属煤矿管理局，各省、自治区、直辖市监狱管理局、戒毒管理局，各地(设区的市)监狱、强制隔离戒毒所、戒毒康复所，以及新疆生产建设兵团监狱管理局、戒毒管理局的企业。监狱企业投标时，提供由省级以上监狱管理局、戒毒管理局(含新疆生产建设兵团)出具的属于监狱企业的证明文件，不再提供《中小企业声明函》。</w:t>
      </w:r>
    </w:p>
    <w:p>
      <w:pPr>
        <w:pStyle w:val="24"/>
        <w:rPr>
          <w:b/>
          <w:bCs/>
        </w:rPr>
      </w:pPr>
      <w:r>
        <w:rPr>
          <w:rFonts w:hint="eastAsia"/>
          <w:shd w:val="clear" w:color="auto" w:fill="FFFFFF"/>
        </w:rPr>
        <w:t>3.根据财库〔2017〕141号《财政部 民政部 中国残疾人联合会关于促进残疾人就业政府采购政策的通知》，在政府采购活动中，残疾人福利性单位视同小型、微型企业，享受政府采购支持政策的残疾人福利性单位应当同时满足《财政部 民政部 中国残疾人联合会关于促进残疾人就业政府采购政策的通知》所列条件。残疾人福利性单位属于小型、微型企业的，不重复享受政策。符合条件的残疾人福利性单位在参加政府采购活动时，应当提供《残疾人福利性单位声明函》，并对声明的真实性负责。</w:t>
      </w:r>
    </w:p>
    <w:p>
      <w:pPr>
        <w:pStyle w:val="24"/>
      </w:pPr>
      <w:r>
        <w:rPr>
          <w:rStyle w:val="33"/>
          <w:rFonts w:hint="eastAsia" w:ascii="Times New Roman" w:hAnsi="Times New Roman" w:cs="Times New Roman"/>
          <w:shd w:val="clear" w:color="auto" w:fill="FFFFFF"/>
        </w:rPr>
        <w:t>（七）知识产权</w:t>
      </w:r>
    </w:p>
    <w:p>
      <w:pPr>
        <w:pStyle w:val="24"/>
        <w:rPr>
          <w:shd w:val="clear" w:color="auto" w:fill="FFFFFF"/>
        </w:rPr>
      </w:pPr>
      <w:r>
        <w:rPr>
          <w:rFonts w:hint="eastAsia"/>
          <w:shd w:val="clear" w:color="auto" w:fill="FFFFFF"/>
        </w:rPr>
        <w:t>1.投标人必须保证，采购人在中华人民共和国境内使用投标货物、资料、技术、服务或其任何一部分时，享有不受限制的无偿使用权，如有第三方向采购人提出侵犯其专利权、商标权或其它知识产权的主张，该责任应由投标人承担。</w:t>
      </w:r>
    </w:p>
    <w:p>
      <w:pPr>
        <w:pStyle w:val="24"/>
        <w:rPr>
          <w:shd w:val="clear" w:color="auto" w:fill="FFFFFF"/>
        </w:rPr>
      </w:pPr>
      <w:r>
        <w:rPr>
          <w:rFonts w:hint="eastAsia"/>
          <w:shd w:val="clear" w:color="auto" w:fill="FFFFFF"/>
        </w:rPr>
        <w:t>2.投标报价应包含所有应向所有权人支付的专利权、商标权或其它知识产权的一切相关费用。</w:t>
      </w:r>
    </w:p>
    <w:p>
      <w:pPr>
        <w:pStyle w:val="24"/>
        <w:rPr>
          <w:shd w:val="clear" w:color="auto" w:fill="FFFFFF"/>
        </w:rPr>
      </w:pPr>
      <w:r>
        <w:rPr>
          <w:rFonts w:hint="eastAsia"/>
          <w:shd w:val="clear" w:color="auto" w:fill="FFFFFF"/>
        </w:rPr>
        <w:t>3.本项目享有本项目实施过程中及开发完成后产生的技术成果及相关知识产权（如有），包括不限于完备的系统设计文档、功能模块说明、程序源代码、执行代码、使用手册等，具有永久合法所有权。项目所交付的应用系统软件环境包括生产环境（正式环境）、测试环境、开发环境，所有环境均要求能正常使用，未经采购人许可，中标人不得将相关采购人资料提供给第三方。</w:t>
      </w:r>
    </w:p>
    <w:p>
      <w:pPr>
        <w:pStyle w:val="24"/>
        <w:rPr>
          <w:shd w:val="clear" w:color="auto" w:fill="FFFFFF"/>
        </w:rPr>
      </w:pPr>
      <w:r>
        <w:rPr>
          <w:rFonts w:hint="eastAsia"/>
          <w:shd w:val="clear" w:color="auto" w:fill="FFFFFF"/>
        </w:rPr>
        <w:t>4.对系统建设、运行、维护期间所产生的数据，归采购人所有。</w:t>
      </w:r>
    </w:p>
    <w:p>
      <w:pPr>
        <w:pStyle w:val="24"/>
      </w:pPr>
      <w:r>
        <w:rPr>
          <w:rStyle w:val="33"/>
          <w:rFonts w:hint="eastAsia" w:ascii="Times New Roman" w:hAnsi="Times New Roman" w:cs="Times New Roman"/>
          <w:shd w:val="clear" w:color="auto" w:fill="FFFFFF"/>
        </w:rPr>
        <w:t>（八）纪律与保密事项</w:t>
      </w:r>
    </w:p>
    <w:p>
      <w:pPr>
        <w:pStyle w:val="24"/>
        <w:rPr>
          <w:shd w:val="clear" w:color="auto" w:fill="FFFFFF"/>
        </w:rPr>
      </w:pPr>
      <w:r>
        <w:rPr>
          <w:rFonts w:hint="eastAsia"/>
          <w:shd w:val="clear" w:color="auto" w:fill="FFFFFF"/>
        </w:rPr>
        <w:t>1.投标人不得相互串通投标报价，不得妨碍其他投标人的公平竞争，不得损害采购人或其他投标人的合法权益，投标人不得以向采购人、评标委员会成员行贿或者采取其他不正当手段谋取中标。</w:t>
      </w:r>
    </w:p>
    <w:p>
      <w:pPr>
        <w:pStyle w:val="24"/>
        <w:rPr>
          <w:shd w:val="clear" w:color="auto" w:fill="FFFFFF"/>
        </w:rPr>
      </w:pPr>
      <w:r>
        <w:rPr>
          <w:rFonts w:hint="eastAsia"/>
          <w:shd w:val="clear" w:color="auto" w:fill="FFFFFF"/>
        </w:rPr>
        <w:t>2.在确定中标供应商之前，投标人不得与采购人就投标价格、投标方案等实质性内容进行谈判，也不得私下接触评标委员会成员。</w:t>
      </w:r>
    </w:p>
    <w:p>
      <w:pPr>
        <w:pStyle w:val="24"/>
        <w:rPr>
          <w:shd w:val="clear" w:color="auto" w:fill="FFFFFF"/>
        </w:rPr>
      </w:pPr>
      <w:r>
        <w:rPr>
          <w:rFonts w:hint="eastAsia"/>
          <w:shd w:val="clear" w:color="auto" w:fill="FFFFFF"/>
        </w:rPr>
        <w:t>3.在确定中标供应商之前，投标人试图在投标文件审查、澄清、比较和评价时对评标委员会、采购人和采购代理机构施加任何影响都可能导致其投标无效。</w:t>
      </w:r>
    </w:p>
    <w:p>
      <w:pPr>
        <w:pStyle w:val="24"/>
        <w:rPr>
          <w:shd w:val="clear" w:color="auto" w:fill="FFFFFF"/>
        </w:rPr>
      </w:pPr>
      <w:r>
        <w:rPr>
          <w:rFonts w:hint="eastAsia"/>
          <w:shd w:val="clear" w:color="auto" w:fill="FFFFFF"/>
        </w:rPr>
        <w:t>4.获得本招标文件者，须履行本项目下保密义务，不得将因本次项目获得的信息向第三人外传，不得将招标文件用作本次投标以外的任何用途。</w:t>
      </w:r>
    </w:p>
    <w:p>
      <w:pPr>
        <w:pStyle w:val="24"/>
        <w:rPr>
          <w:shd w:val="clear" w:color="auto" w:fill="FFFFFF"/>
        </w:rPr>
      </w:pPr>
      <w:r>
        <w:rPr>
          <w:rFonts w:hint="eastAsia"/>
          <w:shd w:val="clear" w:color="auto" w:fill="FFFFFF"/>
        </w:rPr>
        <w:t xml:space="preserve"> 5.由采购人向投标人提供的图纸、详细资料、样品、模型、模件和所有其它资料，均为保密资料，仅被用于它所规定的用途。除非得到采购人的同意，不能向任何第三方透露。开标结束后，应采购人要求，投标人应归还所有从采购人处获得的保密资料。</w:t>
      </w:r>
    </w:p>
    <w:p>
      <w:pPr>
        <w:pStyle w:val="24"/>
        <w:rPr>
          <w:shd w:val="clear" w:color="auto" w:fill="FFFFFF"/>
        </w:rPr>
      </w:pPr>
      <w:r>
        <w:rPr>
          <w:rFonts w:hint="eastAsia"/>
          <w:shd w:val="clear" w:color="auto" w:fill="FFFFFF"/>
        </w:rPr>
        <w:t>6.采购人或采购代理机构有权将供应商提供的所有资料向有关政府部门或评审小组披露。</w:t>
      </w:r>
    </w:p>
    <w:p>
      <w:pPr>
        <w:pStyle w:val="24"/>
        <w:rPr>
          <w:b/>
          <w:bCs/>
        </w:rPr>
      </w:pPr>
      <w:r>
        <w:rPr>
          <w:rFonts w:hint="eastAsia"/>
          <w:shd w:val="clear" w:color="auto" w:fill="FFFFFF"/>
        </w:rPr>
        <w:t>7.在采购人或采购代理机构认为适当时、国家机关调查、审查、审计时以及其他符合法律规定的情形下，采购人或采购代理机构无须事先征求供应商同意而可以披露关于采购过程、合同文本、签署情况的资料、供应商的名称及地址、响应文件的有关信息以及补充条款等，但应当在合理的必要范围内。对任何已经公布过的内容或与之内容相同的资料，以及供应商已经泄露或公开的，无须再承担保密责任。</w:t>
      </w:r>
    </w:p>
    <w:p>
      <w:pPr>
        <w:pStyle w:val="24"/>
      </w:pPr>
      <w:r>
        <w:rPr>
          <w:rStyle w:val="33"/>
          <w:rFonts w:hint="eastAsia" w:ascii="Times New Roman" w:hAnsi="Times New Roman" w:cs="Times New Roman"/>
          <w:shd w:val="clear" w:color="auto" w:fill="FFFFFF"/>
        </w:rPr>
        <w:t>三、询问、质疑、投诉</w:t>
      </w:r>
    </w:p>
    <w:p>
      <w:pPr>
        <w:pStyle w:val="24"/>
        <w:rPr>
          <w:shd w:val="clear" w:color="auto" w:fill="FFFFFF"/>
        </w:rPr>
      </w:pPr>
      <w:r>
        <w:rPr>
          <w:rFonts w:hint="eastAsia"/>
          <w:shd w:val="clear" w:color="auto" w:fill="FFFFFF"/>
        </w:rPr>
        <w:t>（一）询问</w:t>
      </w:r>
    </w:p>
    <w:p>
      <w:pPr>
        <w:pStyle w:val="24"/>
        <w:rPr>
          <w:shd w:val="clear" w:color="auto" w:fill="FFFFFF"/>
        </w:rPr>
      </w:pPr>
      <w:r>
        <w:rPr>
          <w:rFonts w:hint="eastAsia"/>
          <w:shd w:val="clear" w:color="auto" w:fill="FFFFFF"/>
        </w:rPr>
        <w:t>投标人对政府采购活动事项（招标文件、采购过程和中标结果）有疑问的，可以向采购人或采购代理机构提出询问，采购人或采购代理机构将及时作出答复，但答复的内容不涉及商业秘密。询问可以口头方式提出，也可以书面方式提出，书面方式包括但不限于传真、信函、电子邮件。以书面方式提出的，询问文件应当署名，询问供应商为自然人的，应当由本人签字；询问供应商为法人或者其他组织的，应当由法定代表人、主要负责人，或者其授权代表签字或者盖章，并加盖公章。联系方式见招标公告中“采购人、采购代理机构的名称、地址和联系方式”。</w:t>
      </w:r>
    </w:p>
    <w:p>
      <w:pPr>
        <w:pStyle w:val="24"/>
        <w:rPr>
          <w:shd w:val="clear" w:color="auto" w:fill="FFFFFF"/>
        </w:rPr>
      </w:pPr>
      <w:r>
        <w:rPr>
          <w:rFonts w:hint="eastAsia"/>
          <w:shd w:val="clear" w:color="auto" w:fill="FFFFFF"/>
        </w:rPr>
        <w:t>（二）质疑</w:t>
      </w:r>
    </w:p>
    <w:p>
      <w:pPr>
        <w:pStyle w:val="24"/>
        <w:rPr>
          <w:shd w:val="clear" w:color="auto" w:fill="FFFFFF"/>
        </w:rPr>
      </w:pPr>
      <w:r>
        <w:rPr>
          <w:rFonts w:hint="eastAsia"/>
          <w:shd w:val="clear" w:color="auto" w:fill="FFFFFF"/>
        </w:rPr>
        <w:t>1.供应商认为招标文件、采购过程和中标结果使自己的权益受到损害的，可以在知道或者应知其权益受到损害之日起七个工作日内，以书面原件形式向采购人或采购代理机构一次性提出针对同一采购程序环节的质疑，逾期质疑无效。供应商应知其权益受到损害之日是指：</w:t>
      </w:r>
    </w:p>
    <w:p>
      <w:pPr>
        <w:pStyle w:val="24"/>
        <w:rPr>
          <w:shd w:val="clear" w:color="auto" w:fill="FFFFFF"/>
        </w:rPr>
      </w:pPr>
      <w:r>
        <w:rPr>
          <w:rFonts w:hint="eastAsia"/>
          <w:shd w:val="clear" w:color="auto" w:fill="FFFFFF"/>
        </w:rPr>
        <w:t>（1）对招标文件提出质疑的，为获取招标文件之日或者招标文件公告期限届满之日；</w:t>
      </w:r>
    </w:p>
    <w:p>
      <w:pPr>
        <w:pStyle w:val="24"/>
        <w:rPr>
          <w:shd w:val="clear" w:color="auto" w:fill="FFFFFF"/>
        </w:rPr>
      </w:pPr>
      <w:r>
        <w:rPr>
          <w:rFonts w:hint="eastAsia"/>
          <w:shd w:val="clear" w:color="auto" w:fill="FFFFFF"/>
        </w:rPr>
        <w:t>（2）对采购过程提出质疑的，为各采购程序环节结束之日；</w:t>
      </w:r>
    </w:p>
    <w:p>
      <w:pPr>
        <w:pStyle w:val="24"/>
        <w:rPr>
          <w:shd w:val="clear" w:color="auto" w:fill="FFFFFF"/>
        </w:rPr>
      </w:pPr>
      <w:r>
        <w:rPr>
          <w:rFonts w:hint="eastAsia"/>
          <w:shd w:val="clear" w:color="auto" w:fill="FFFFFF"/>
        </w:rPr>
        <w:t>（3）对中标结果提出质疑的，为中标结果公告期限届满之日。</w:t>
      </w:r>
    </w:p>
    <w:p>
      <w:pPr>
        <w:pStyle w:val="24"/>
        <w:rPr>
          <w:shd w:val="clear" w:color="auto" w:fill="FFFFFF"/>
        </w:rPr>
      </w:pPr>
      <w:r>
        <w:rPr>
          <w:rFonts w:hint="eastAsia"/>
          <w:shd w:val="clear" w:color="auto" w:fill="FFFFFF"/>
        </w:rPr>
        <w:t>2.质疑函应当包括下列主要内容：</w:t>
      </w:r>
    </w:p>
    <w:p>
      <w:pPr>
        <w:pStyle w:val="24"/>
        <w:rPr>
          <w:shd w:val="clear" w:color="auto" w:fill="FFFFFF"/>
        </w:rPr>
      </w:pPr>
      <w:r>
        <w:rPr>
          <w:rFonts w:hint="eastAsia"/>
          <w:shd w:val="clear" w:color="auto" w:fill="FFFFFF"/>
        </w:rPr>
        <w:t>（1）质疑供应商和相关供应商的名称、地址、邮编、联系人及联系电话等；</w:t>
      </w:r>
    </w:p>
    <w:p>
      <w:pPr>
        <w:pStyle w:val="24"/>
        <w:rPr>
          <w:shd w:val="clear" w:color="auto" w:fill="FFFFFF"/>
        </w:rPr>
      </w:pPr>
      <w:r>
        <w:rPr>
          <w:rFonts w:hint="eastAsia"/>
          <w:shd w:val="clear" w:color="auto" w:fill="FFFFFF"/>
        </w:rPr>
        <w:t>（2）质疑项目名称及编号、具体明确的质疑事项和与质疑事项相关的请求；</w:t>
      </w:r>
    </w:p>
    <w:p>
      <w:pPr>
        <w:pStyle w:val="24"/>
        <w:rPr>
          <w:shd w:val="clear" w:color="auto" w:fill="FFFFFF"/>
        </w:rPr>
      </w:pPr>
      <w:r>
        <w:rPr>
          <w:rFonts w:hint="eastAsia"/>
          <w:shd w:val="clear" w:color="auto" w:fill="FFFFFF"/>
        </w:rPr>
        <w:t>（3）认为采购文件、采购过程、中标和成交结果使自己的合法权益受到损害的法律依据、事实依据、相关证明材料及证据来源；</w:t>
      </w:r>
    </w:p>
    <w:p>
      <w:pPr>
        <w:pStyle w:val="24"/>
        <w:rPr>
          <w:shd w:val="clear" w:color="auto" w:fill="FFFFFF"/>
        </w:rPr>
      </w:pPr>
      <w:r>
        <w:rPr>
          <w:rFonts w:hint="eastAsia"/>
          <w:shd w:val="clear" w:color="auto" w:fill="FFFFFF"/>
        </w:rPr>
        <w:t>（4）提出质疑的日期。</w:t>
      </w:r>
    </w:p>
    <w:p>
      <w:pPr>
        <w:pStyle w:val="24"/>
        <w:rPr>
          <w:shd w:val="clear" w:color="auto" w:fill="FFFFFF"/>
        </w:rPr>
      </w:pPr>
      <w:r>
        <w:rPr>
          <w:rFonts w:hint="eastAsia"/>
          <w:shd w:val="clear" w:color="auto" w:fill="FFFFFF"/>
        </w:rPr>
        <w:t>3.质疑函应当署名。质疑供应商为自然人的，应当由本人签字；质疑供应商为法人或者其他组织的，应当由法定代表人、主要负责人，或者其授权代表签字或者盖章，并加盖公章。</w:t>
      </w:r>
    </w:p>
    <w:p>
      <w:pPr>
        <w:pStyle w:val="24"/>
        <w:rPr>
          <w:shd w:val="clear" w:color="auto" w:fill="FFFFFF"/>
        </w:rPr>
      </w:pPr>
      <w:r>
        <w:rPr>
          <w:rFonts w:hint="eastAsia"/>
          <w:shd w:val="clear" w:color="auto" w:fill="FFFFFF"/>
        </w:rPr>
        <w:t>4.供应商质疑应当有明确的请求和必要的证明材料。质疑内容不得含有虚假、恶意成份。依照谁主张谁举证的原则，提出质疑者必须同时提交相关确凿的证据材料和注明证据的确切来源，证据来源必须合法，采购人或采购代理机构有权将质疑函转发质疑事项各关联方，请其作出解释说明。对捏造事实、滥用维权扰乱采购秩序的恶意质疑者，将上报政府采购监督管理部门依法处理。</w:t>
      </w:r>
    </w:p>
    <w:p>
      <w:pPr>
        <w:pStyle w:val="24"/>
        <w:rPr>
          <w:shd w:val="clear" w:color="auto" w:fill="FFFFFF"/>
        </w:rPr>
      </w:pPr>
      <w:r>
        <w:rPr>
          <w:rFonts w:hint="eastAsia"/>
          <w:shd w:val="clear" w:color="auto" w:fill="FFFFFF"/>
        </w:rPr>
        <w:t>5.质疑联系方式如下：</w:t>
      </w:r>
    </w:p>
    <w:p>
      <w:pPr>
        <w:pStyle w:val="24"/>
        <w:rPr>
          <w:shd w:val="clear" w:color="auto" w:fill="FFFFFF"/>
        </w:rPr>
      </w:pPr>
      <w:r>
        <w:rPr>
          <w:rFonts w:hint="eastAsia"/>
          <w:shd w:val="clear" w:color="auto" w:fill="FFFFFF"/>
        </w:rPr>
        <w:t>质疑联系人：何晓蕾</w:t>
      </w:r>
    </w:p>
    <w:p>
      <w:pPr>
        <w:pStyle w:val="24"/>
        <w:rPr>
          <w:shd w:val="clear" w:color="auto" w:fill="FFFFFF"/>
        </w:rPr>
      </w:pPr>
      <w:r>
        <w:rPr>
          <w:rFonts w:hint="eastAsia"/>
          <w:shd w:val="clear" w:color="auto" w:fill="FFFFFF"/>
        </w:rPr>
        <w:t>电话：（020）28866163</w:t>
      </w:r>
    </w:p>
    <w:p>
      <w:pPr>
        <w:pStyle w:val="24"/>
        <w:rPr>
          <w:shd w:val="clear" w:color="auto" w:fill="FFFFFF"/>
        </w:rPr>
      </w:pPr>
      <w:r>
        <w:rPr>
          <w:rFonts w:hint="eastAsia"/>
          <w:shd w:val="clear" w:color="auto" w:fill="FFFFFF"/>
        </w:rPr>
        <w:t>地址：广州市天河区天润路445号4楼广州市政府采购中心质量监督部</w:t>
      </w:r>
    </w:p>
    <w:p>
      <w:pPr>
        <w:pStyle w:val="24"/>
        <w:rPr>
          <w:shd w:val="clear" w:color="auto" w:fill="FFFFFF"/>
        </w:rPr>
      </w:pPr>
      <w:r>
        <w:rPr>
          <w:rFonts w:hint="eastAsia"/>
          <w:shd w:val="clear" w:color="auto" w:fill="FFFFFF"/>
        </w:rPr>
        <w:t>邮编：510630</w:t>
      </w:r>
    </w:p>
    <w:p>
      <w:pPr>
        <w:pStyle w:val="24"/>
        <w:rPr>
          <w:shd w:val="clear" w:color="auto" w:fill="FFFFFF"/>
        </w:rPr>
      </w:pPr>
      <w:r>
        <w:rPr>
          <w:rFonts w:hint="eastAsia"/>
          <w:shd w:val="clear" w:color="auto" w:fill="FFFFFF"/>
        </w:rPr>
        <w:t>（三）投诉</w:t>
      </w:r>
    </w:p>
    <w:p>
      <w:pPr>
        <w:pStyle w:val="24"/>
        <w:rPr>
          <w:shd w:val="clear" w:color="auto" w:fill="FFFFFF"/>
        </w:rPr>
      </w:pPr>
      <w:r>
        <w:rPr>
          <w:rFonts w:hint="eastAsia"/>
          <w:shd w:val="clear" w:color="auto" w:fill="FFFFFF"/>
        </w:rPr>
        <w:t>质疑人对采购人或采购代理机构的质疑答复不满意或在规定时间内未得到答复的，可以在答复期满后15个工作日内，按如下联系方式向本项目采购人同级监督管理部门提起投诉。</w:t>
      </w:r>
    </w:p>
    <w:p>
      <w:pPr>
        <w:pStyle w:val="24"/>
        <w:rPr>
          <w:shd w:val="clear" w:color="auto" w:fill="FFFFFF"/>
        </w:rPr>
      </w:pPr>
      <w:r>
        <w:rPr>
          <w:rFonts w:hint="eastAsia"/>
          <w:shd w:val="clear" w:color="auto" w:fill="FFFFFF"/>
        </w:rPr>
        <w:t>本项目投诉受理部门：财政部政府采购监督裁决处，地址：北京市西城区月坛北小街13号中船宾馆北楼四层8401室、8403室，受理电话：010-68513070、010-68519967。</w:t>
      </w:r>
    </w:p>
    <w:p>
      <w:pPr>
        <w:pStyle w:val="24"/>
      </w:pPr>
      <w:r>
        <w:rPr>
          <w:rStyle w:val="33"/>
          <w:rFonts w:hint="eastAsia" w:ascii="Times New Roman" w:hAnsi="Times New Roman" w:cs="Times New Roman"/>
        </w:rPr>
        <w:t>四、投标要求</w:t>
      </w:r>
    </w:p>
    <w:p>
      <w:pPr>
        <w:pStyle w:val="24"/>
        <w:rPr>
          <w:shd w:val="clear" w:color="auto" w:fill="FFFFFF"/>
        </w:rPr>
      </w:pPr>
      <w:r>
        <w:rPr>
          <w:rFonts w:hint="eastAsia"/>
          <w:shd w:val="clear" w:color="auto" w:fill="FFFFFF"/>
        </w:rPr>
        <w:t>（一）投标登记</w:t>
      </w:r>
    </w:p>
    <w:p>
      <w:pPr>
        <w:pStyle w:val="24"/>
        <w:rPr>
          <w:shd w:val="clear" w:color="auto" w:fill="FFFFFF"/>
        </w:rPr>
      </w:pPr>
      <w:r>
        <w:rPr>
          <w:rFonts w:hint="eastAsia"/>
          <w:shd w:val="clear" w:color="auto" w:fill="FFFFFF"/>
        </w:rPr>
        <w:t xml:space="preserve"> 投标人应从广州市政采中心采购综合管理服务平台（https://gcycloud.cn/gpbs-gpbs/index.html#/gpbs/supplierReg/registrationPage?zoneCode=440101&amp;tenantId=ZF_DLJG_000004）的供应商入口进行免费注册后，登录进入项目采购系统完成项目投标登记并在线获取招标文件（未按上述方式获取招标文件的供应商，其投标资格将被视为无效）。</w:t>
      </w:r>
    </w:p>
    <w:p>
      <w:pPr>
        <w:pStyle w:val="24"/>
      </w:pPr>
      <w:r>
        <w:rPr>
          <w:rStyle w:val="33"/>
          <w:rFonts w:hint="eastAsia" w:ascii="Times New Roman" w:hAnsi="Times New Roman" w:cs="Times New Roman"/>
        </w:rPr>
        <w:t>（二）投标文件的制作</w:t>
      </w:r>
    </w:p>
    <w:p>
      <w:pPr>
        <w:pStyle w:val="24"/>
        <w:rPr>
          <w:shd w:val="clear" w:color="auto" w:fill="FFFFFF"/>
        </w:rPr>
      </w:pPr>
      <w:r>
        <w:rPr>
          <w:shd w:val="clear" w:color="auto" w:fill="FFFFFF"/>
        </w:rPr>
        <w:t>1.投标文件中，所有内容均以电子文件编制，其格式要求详见第五章说明。如因不按要求编制导致系统无法检索、读取相关信息时，其后果由投标人承担。由于本项目采用电子化投标，请充分考虑设备、网络环境、人员对系统熟悉度等因素，合理安排投标文件制作、提交时间，建议至少提前一天完成制作、提交工作。</w:t>
      </w:r>
    </w:p>
    <w:p>
      <w:pPr>
        <w:pStyle w:val="24"/>
        <w:rPr>
          <w:shd w:val="clear" w:color="auto" w:fill="FFFFFF"/>
        </w:rPr>
      </w:pPr>
      <w:r>
        <w:rPr>
          <w:shd w:val="clear" w:color="auto" w:fill="FFFFFF"/>
        </w:rPr>
        <w:t xml:space="preserve"> 2.投标人应使用广州市政采中心采购综合管理服务平台提供的投标客户端编制、标记、加密投标文件，成功加密后将生成指定格式的电子投标文件和电子备用投标文件。所有投标文件不能进行压缩处理。关于电子投标报价（如有报价）说明如下：</w:t>
      </w:r>
    </w:p>
    <w:p>
      <w:pPr>
        <w:pStyle w:val="24"/>
        <w:rPr>
          <w:shd w:val="clear" w:color="auto" w:fill="FFFFFF"/>
        </w:rPr>
      </w:pPr>
      <w:r>
        <w:rPr>
          <w:rFonts w:hint="eastAsia"/>
          <w:shd w:val="clear" w:color="auto" w:fill="FFFFFF"/>
        </w:rPr>
        <w:t>（1）</w:t>
      </w:r>
      <w:r>
        <w:rPr>
          <w:shd w:val="clear" w:color="auto" w:fill="FFFFFF"/>
        </w:rPr>
        <w:t>投标人应按照“第二章采购需求”的需求内容、责任范围以及合同条款进行报价。并按“开标一览表”和“</w:t>
      </w:r>
      <w:r>
        <w:rPr>
          <w:rFonts w:hint="eastAsia"/>
          <w:shd w:val="clear" w:color="auto" w:fill="FFFFFF"/>
        </w:rPr>
        <w:t>详细报价表</w:t>
      </w:r>
      <w:r>
        <w:rPr>
          <w:shd w:val="clear" w:color="auto" w:fill="FFFFFF"/>
        </w:rPr>
        <w:t>”规定的格式报出</w:t>
      </w:r>
      <w:r>
        <w:rPr>
          <w:rFonts w:hint="eastAsia"/>
          <w:shd w:val="clear" w:color="auto" w:fill="FFFFFF"/>
        </w:rPr>
        <w:t>综合单价汇总价</w:t>
      </w:r>
      <w:r>
        <w:rPr>
          <w:shd w:val="clear" w:color="auto" w:fill="FFFFFF"/>
        </w:rPr>
        <w:t>和</w:t>
      </w:r>
      <w:r>
        <w:rPr>
          <w:rFonts w:hint="eastAsia"/>
          <w:shd w:val="clear" w:color="auto" w:fill="FFFFFF"/>
        </w:rPr>
        <w:t>各采购内容的单价报价</w:t>
      </w:r>
      <w:r>
        <w:rPr>
          <w:shd w:val="clear" w:color="auto" w:fill="FFFFFF"/>
        </w:rPr>
        <w:t>。投标总价中不得包含招标文件要求以外的内容，否则，在评审时不予核减。</w:t>
      </w:r>
    </w:p>
    <w:p>
      <w:pPr>
        <w:pStyle w:val="24"/>
        <w:rPr>
          <w:shd w:val="clear" w:color="auto" w:fill="FFFFFF"/>
        </w:rPr>
      </w:pPr>
      <w:r>
        <w:rPr>
          <w:rFonts w:hint="eastAsia"/>
          <w:shd w:val="clear" w:color="auto" w:fill="FFFFFF"/>
        </w:rPr>
        <w:t>（2）</w:t>
      </w:r>
      <w:r>
        <w:rPr>
          <w:shd w:val="clear" w:color="auto" w:fill="FFFFFF"/>
        </w:rPr>
        <w:t>投标报价包括本项目采购需求和投入使用的所有费用，包括但不限于主件、标准附件、备品备件、施工、服务、专用工具、安装、调试、检验、培训、运输、保险、税款等。</w:t>
      </w:r>
    </w:p>
    <w:p>
      <w:pPr>
        <w:pStyle w:val="24"/>
        <w:rPr>
          <w:shd w:val="clear" w:color="auto" w:fill="FFFFFF"/>
        </w:rPr>
      </w:pPr>
      <w:r>
        <w:rPr>
          <w:shd w:val="clear" w:color="auto" w:fill="FFFFFF"/>
        </w:rPr>
        <w:t>3 .如有对多个采购包投标的，要对每个采购包独立制作电子投标文件。</w:t>
      </w:r>
    </w:p>
    <w:p>
      <w:pPr>
        <w:pStyle w:val="24"/>
        <w:rPr>
          <w:shd w:val="clear" w:color="auto" w:fill="FFFFFF"/>
        </w:rPr>
      </w:pPr>
      <w:r>
        <w:rPr>
          <w:shd w:val="clear" w:color="auto" w:fill="FFFFFF"/>
        </w:rPr>
        <w:t>4.投标人不得将同一个项目或同一个采购包的内容拆开投标，否则其报价将被视为非实质性响应。</w:t>
      </w:r>
    </w:p>
    <w:p>
      <w:pPr>
        <w:pStyle w:val="24"/>
        <w:rPr>
          <w:shd w:val="clear" w:color="auto" w:fill="FFFFFF"/>
        </w:rPr>
      </w:pPr>
      <w:r>
        <w:rPr>
          <w:shd w:val="clear" w:color="auto" w:fill="FFFFFF"/>
        </w:rPr>
        <w:t>5.投标人须对招标文件的对应要求给予唯一的实质性响应，否则将视为不响应。</w:t>
      </w:r>
    </w:p>
    <w:p>
      <w:pPr>
        <w:pStyle w:val="24"/>
        <w:rPr>
          <w:shd w:val="clear" w:color="auto" w:fill="FFFFFF"/>
        </w:rPr>
      </w:pPr>
      <w:r>
        <w:rPr>
          <w:shd w:val="clear" w:color="auto" w:fill="FFFFFF"/>
        </w:rPr>
        <w:t>6.招标文件中，凡标有“★”的地方均为实质性响应条款，投标人若有一项带“★”的条款未响应或不满足，将按无效投标处理。</w:t>
      </w:r>
    </w:p>
    <w:p>
      <w:pPr>
        <w:pStyle w:val="24"/>
        <w:rPr>
          <w:shd w:val="clear" w:color="auto" w:fill="FFFFFF"/>
        </w:rPr>
      </w:pPr>
      <w:r>
        <w:rPr>
          <w:shd w:val="clear" w:color="auto" w:fill="FFFFFF"/>
        </w:rPr>
        <w:t>7.投标人必须按招标文件指定的格式填写各种报价，各报价应计算正确。除在招标文件另有规定外（如：报折扣、报优惠率等），计量单位应使用中华人民共和国法定计量单位，以人民币填报所有报价。</w:t>
      </w:r>
    </w:p>
    <w:p>
      <w:pPr>
        <w:pStyle w:val="24"/>
        <w:rPr>
          <w:shd w:val="clear" w:color="auto" w:fill="FFFFFF"/>
        </w:rPr>
      </w:pPr>
      <w:r>
        <w:rPr>
          <w:shd w:val="clear" w:color="auto" w:fill="FFFFFF"/>
        </w:rPr>
        <w:t>8.投标文件以及投标人与采购人、代理机构就有关投标的往来函电均应使用中文。投标人提交的支持性文件和印制的文件可以用另一种语言，但相应内容应翻译成中文，在解释投标文件时以中文文本为准。</w:t>
      </w:r>
    </w:p>
    <w:p>
      <w:pPr>
        <w:pStyle w:val="24"/>
        <w:rPr>
          <w:shd w:val="clear" w:color="auto" w:fill="FFFFFF"/>
        </w:rPr>
      </w:pPr>
      <w:r>
        <w:rPr>
          <w:shd w:val="clear" w:color="auto" w:fill="FFFFFF"/>
        </w:rPr>
        <w:t>9.投标人应按招标文件的规定及附件要求的内容和格式完整地填写和提供资料。投标人必须对投标文件所提供的全部资料的真实性承担法律责任，并无条件接受采购人和政府采购监督管理部门对其中任何资料进行核实（核对原件）的要求。采购人有权核对发现有不一致或供应商无正当理由不按时提供原件的，应当书面知会代理机构，并书面报告本级人民政府财政部门。</w:t>
      </w:r>
    </w:p>
    <w:p>
      <w:pPr>
        <w:pStyle w:val="24"/>
      </w:pPr>
      <w:r>
        <w:rPr>
          <w:rStyle w:val="33"/>
          <w:rFonts w:hint="eastAsia" w:ascii="Times New Roman" w:hAnsi="Times New Roman" w:cs="Times New Roman"/>
          <w:shd w:val="clear" w:color="auto" w:fill="FFFFFF"/>
        </w:rPr>
        <w:t>（三）投标文件的提交</w:t>
      </w:r>
    </w:p>
    <w:p>
      <w:pPr>
        <w:pStyle w:val="24"/>
        <w:rPr>
          <w:shd w:val="clear" w:color="auto" w:fill="FFFFFF"/>
        </w:rPr>
      </w:pPr>
      <w:r>
        <w:rPr>
          <w:rFonts w:hint="eastAsia"/>
          <w:shd w:val="clear" w:color="auto" w:fill="FFFFFF"/>
        </w:rPr>
        <w:t>1.投标人应在上传电子投标文件前，在广州市政采中心采购综合管理服务平台中完成项目投标登记。</w:t>
      </w:r>
    </w:p>
    <w:p>
      <w:pPr>
        <w:pStyle w:val="24"/>
        <w:rPr>
          <w:shd w:val="clear" w:color="auto" w:fill="FFFFFF"/>
        </w:rPr>
      </w:pPr>
      <w:r>
        <w:rPr>
          <w:rFonts w:hint="eastAsia"/>
          <w:shd w:val="clear" w:color="auto" w:fill="FFFFFF"/>
        </w:rPr>
        <w:t>2.采购代理机构不接受现场纸质、邮寄纸质、电报、电话、传真方式投标。</w:t>
      </w:r>
    </w:p>
    <w:p>
      <w:pPr>
        <w:pStyle w:val="24"/>
        <w:rPr>
          <w:shd w:val="clear" w:color="auto" w:fill="FFFFFF"/>
        </w:rPr>
      </w:pPr>
      <w:r>
        <w:rPr>
          <w:rFonts w:hint="eastAsia"/>
          <w:shd w:val="clear" w:color="auto" w:fill="FFFFFF"/>
        </w:rPr>
        <w:t>3.于提交投标文件截止时间前，投标人将投标文件完整上传并保存在广州市政府采购中心采购综合管理服务平台采购系统，且取得回执。时间以广州市政府采购中心采购综合管理服务平台采购系统服务器从中国科学院国家授时中心取得的北京时间为准，投标截止时间结束后，系统将不允许投标人上传投标文件。</w:t>
      </w:r>
    </w:p>
    <w:p>
      <w:pPr>
        <w:pStyle w:val="24"/>
        <w:rPr>
          <w:shd w:val="clear" w:color="auto" w:fill="FFFFFF"/>
        </w:rPr>
      </w:pPr>
      <w:r>
        <w:rPr>
          <w:rFonts w:hint="eastAsia"/>
          <w:shd w:val="clear" w:color="auto" w:fill="FFFFFF"/>
        </w:rPr>
        <w:t>4.上传投标文件时，投标人须使用制作该投标文件的同一业务数字证书进行上传操作。</w:t>
      </w:r>
    </w:p>
    <w:p>
      <w:pPr>
        <w:pStyle w:val="24"/>
        <w:rPr>
          <w:shd w:val="clear" w:color="auto" w:fill="FFFFFF"/>
        </w:rPr>
      </w:pPr>
      <w:r>
        <w:rPr>
          <w:rFonts w:hint="eastAsia"/>
          <w:shd w:val="clear" w:color="auto" w:fill="FFFFFF"/>
        </w:rPr>
        <w:t>5. 市政府采购中心对因不可抗力事件造成的投标文件的损坏、丢失的，不承担责任。</w:t>
      </w:r>
    </w:p>
    <w:p>
      <w:pPr>
        <w:pStyle w:val="24"/>
        <w:rPr>
          <w:shd w:val="clear" w:color="auto" w:fill="FFFFFF"/>
        </w:rPr>
      </w:pPr>
      <w:r>
        <w:rPr>
          <w:rFonts w:hint="eastAsia"/>
          <w:shd w:val="clear" w:color="auto" w:fill="FFFFFF"/>
        </w:rPr>
        <w:t>6.出现下述情形之一，属于未成功提交投标文件：</w:t>
      </w:r>
    </w:p>
    <w:p>
      <w:pPr>
        <w:pStyle w:val="24"/>
        <w:rPr>
          <w:shd w:val="clear" w:color="auto" w:fill="FFFFFF"/>
        </w:rPr>
      </w:pPr>
      <w:r>
        <w:rPr>
          <w:rFonts w:hint="eastAsia"/>
          <w:shd w:val="clear" w:color="auto" w:fill="FFFFFF"/>
        </w:rPr>
        <w:t>（1）至提交投标文件截止时，投标文件未完整上传并保存的。</w:t>
      </w:r>
    </w:p>
    <w:p>
      <w:pPr>
        <w:pStyle w:val="24"/>
        <w:rPr>
          <w:shd w:val="clear" w:color="auto" w:fill="FFFFFF"/>
        </w:rPr>
      </w:pPr>
      <w:r>
        <w:rPr>
          <w:rFonts w:hint="eastAsia"/>
          <w:shd w:val="clear" w:color="auto" w:fill="FFFFFF"/>
        </w:rPr>
        <w:t>（2）投标文件未按要求进行电子签名和电子签章，或电子签名或电子签章不完整的。</w:t>
      </w:r>
    </w:p>
    <w:p>
      <w:pPr>
        <w:pStyle w:val="24"/>
        <w:rPr>
          <w:shd w:val="clear" w:color="auto" w:fill="FFFFFF"/>
        </w:rPr>
      </w:pPr>
      <w:r>
        <w:rPr>
          <w:rFonts w:hint="eastAsia"/>
          <w:shd w:val="clear" w:color="auto" w:fill="FFFFFF"/>
        </w:rPr>
        <w:t>（3）投标文件损坏或格式不正确的。</w:t>
      </w:r>
    </w:p>
    <w:p>
      <w:pPr>
        <w:pStyle w:val="24"/>
        <w:rPr>
          <w:shd w:val="clear" w:color="auto" w:fill="FFFFFF"/>
        </w:rPr>
      </w:pPr>
      <w:r>
        <w:rPr>
          <w:rFonts w:hint="eastAsia"/>
          <w:shd w:val="clear" w:color="auto" w:fill="FFFFFF"/>
        </w:rPr>
        <w:t>（4）未使用最新发布的招标文件制作投标文件的。</w:t>
      </w:r>
    </w:p>
    <w:p>
      <w:pPr>
        <w:pStyle w:val="24"/>
      </w:pPr>
      <w:r>
        <w:rPr>
          <w:rStyle w:val="33"/>
          <w:rFonts w:hint="eastAsia" w:ascii="Times New Roman" w:hAnsi="Times New Roman" w:cs="Times New Roman"/>
          <w:shd w:val="clear" w:color="auto" w:fill="FFFFFF"/>
        </w:rPr>
        <w:t>（三）投标文件的修改、撤回与撤销</w:t>
      </w:r>
    </w:p>
    <w:p>
      <w:pPr>
        <w:pStyle w:val="24"/>
        <w:rPr>
          <w:shd w:val="clear" w:color="auto" w:fill="FFFFFF"/>
        </w:rPr>
      </w:pPr>
      <w:r>
        <w:rPr>
          <w:rFonts w:hint="eastAsia"/>
          <w:shd w:val="clear" w:color="auto" w:fill="FFFFFF"/>
        </w:rPr>
        <w:t>1.在提交投标文件截止时间前，投标人可以修改或撤回未解密的投标文件，投标文件一经解密，将不允许修改或撤回。</w:t>
      </w:r>
    </w:p>
    <w:p>
      <w:pPr>
        <w:pStyle w:val="24"/>
        <w:rPr>
          <w:shd w:val="clear" w:color="auto" w:fill="FFFFFF"/>
        </w:rPr>
      </w:pPr>
      <w:r>
        <w:rPr>
          <w:rFonts w:hint="eastAsia"/>
          <w:shd w:val="clear" w:color="auto" w:fill="FFFFFF"/>
        </w:rPr>
        <w:t>2.在提交投标文件截止时间后，投标人不得补充、修改和更换投标文件。</w:t>
      </w:r>
    </w:p>
    <w:p>
      <w:pPr>
        <w:pStyle w:val="24"/>
        <w:rPr>
          <w:shd w:val="clear" w:color="auto" w:fill="FFFFFF"/>
        </w:rPr>
      </w:pPr>
      <w:r>
        <w:rPr>
          <w:rFonts w:hint="eastAsia"/>
          <w:shd w:val="clear" w:color="auto" w:fill="FFFFFF"/>
        </w:rPr>
        <w:t>3.在提交投标文件截止时间起至投标有效期终止日前，投标人不得撤销投标文件。</w:t>
      </w:r>
    </w:p>
    <w:p>
      <w:pPr>
        <w:pStyle w:val="24"/>
      </w:pPr>
      <w:r>
        <w:rPr>
          <w:rStyle w:val="33"/>
          <w:rFonts w:hint="eastAsia" w:ascii="Times New Roman" w:hAnsi="Times New Roman" w:cs="Times New Roman"/>
          <w:shd w:val="clear" w:color="auto" w:fill="FFFFFF"/>
        </w:rPr>
        <w:t>（四）投标文件的解密</w:t>
      </w:r>
    </w:p>
    <w:p>
      <w:pPr>
        <w:pStyle w:val="24"/>
        <w:rPr>
          <w:shd w:val="clear" w:color="auto" w:fill="FFFFFF"/>
        </w:rPr>
      </w:pPr>
      <w:r>
        <w:rPr>
          <w:rFonts w:hint="eastAsia"/>
          <w:shd w:val="clear" w:color="auto" w:fill="FFFFFF"/>
        </w:rPr>
        <w:t>投标人须在规定的投标解密时间内，使用制作该投标文件的同一业务数字证书对投标文件进行解密，逾期未解密的投标文件作无效投标处理。</w:t>
      </w:r>
    </w:p>
    <w:p>
      <w:pPr>
        <w:pStyle w:val="24"/>
        <w:rPr>
          <w:shd w:val="clear" w:color="auto" w:fill="FFFFFF"/>
        </w:rPr>
      </w:pPr>
      <w:r>
        <w:rPr>
          <w:rFonts w:hint="eastAsia"/>
        </w:rPr>
        <w:t>（五）投标有效期</w:t>
      </w:r>
    </w:p>
    <w:p>
      <w:pPr>
        <w:pStyle w:val="24"/>
        <w:rPr>
          <w:shd w:val="clear" w:color="auto" w:fill="FFFFFF"/>
        </w:rPr>
      </w:pPr>
      <w:r>
        <w:rPr>
          <w:rFonts w:hint="eastAsia"/>
          <w:shd w:val="clear" w:color="auto" w:fill="FFFFFF"/>
        </w:rPr>
        <w:t>投标有效期从提交投标文件的截止之日起算90天。</w:t>
      </w:r>
    </w:p>
    <w:p>
      <w:pPr>
        <w:pStyle w:val="24"/>
        <w:rPr>
          <w:shd w:val="clear" w:color="auto" w:fill="FFFFFF"/>
        </w:rPr>
      </w:pPr>
      <w:r>
        <w:rPr>
          <w:rFonts w:hint="eastAsia"/>
          <w:shd w:val="clear" w:color="auto" w:fill="FFFFFF"/>
        </w:rPr>
        <w:t>1.投标有效期内投标人撤销投标文件的，采购人或者采购代理机构可以不退还投标保证金（如有）。采用投标保函方式替代保证金的，采购人或者采购代理机构可以向担保机构索赔保证金。</w:t>
      </w:r>
    </w:p>
    <w:p>
      <w:pPr>
        <w:pStyle w:val="24"/>
        <w:rPr>
          <w:shd w:val="clear" w:color="auto" w:fill="FFFFFF"/>
        </w:rPr>
      </w:pPr>
      <w:r>
        <w:rPr>
          <w:rFonts w:hint="eastAsia"/>
          <w:shd w:val="clear" w:color="auto" w:fill="FFFFFF"/>
        </w:rPr>
        <w:t xml:space="preserve"> 2.出现特殊情况需延长投标有效期的，采购人或采购代理机构可于投标有效期满之前要求投标人同意延长有效期，要求与答复均以书面形式通知所有投标人。投标人同意延长的，应相应延长其投标保证金（如有）的有效期，但不得要求或被允许修改或撤销其投标文件；投标人可以拒绝延长有效期，但其投标将会被视为无效，拒绝延长有效期的投标人有权收回其投标保证金（如有）。采用投标保函方式替代保证金的，投标有效期超出保函有效期的，采购人或者采购代理机构应提示投标人重新开函，未获得有效保函的投标人其投标将会被视为无效。</w:t>
      </w:r>
    </w:p>
    <w:p>
      <w:pPr>
        <w:pStyle w:val="24"/>
      </w:pPr>
      <w:r>
        <w:rPr>
          <w:rStyle w:val="33"/>
          <w:rFonts w:hint="eastAsia" w:ascii="Times New Roman" w:hAnsi="Times New Roman" w:cs="Times New Roman"/>
          <w:shd w:val="clear" w:color="auto" w:fill="FFFFFF"/>
        </w:rPr>
        <w:t>（六）投标保证金</w:t>
      </w:r>
    </w:p>
    <w:p>
      <w:pPr>
        <w:pStyle w:val="24"/>
        <w:rPr>
          <w:shd w:val="clear" w:color="auto" w:fill="FFFFFF"/>
        </w:rPr>
      </w:pPr>
      <w:r>
        <w:rPr>
          <w:rFonts w:hint="eastAsia"/>
          <w:shd w:val="clear" w:color="auto" w:fill="FFFFFF"/>
        </w:rPr>
        <w:t>1.本项目收取投标保证金。投标保证金可以采用银行转账、支票、汇票、本票、保函等非现金形式提交。具体缴纳办法如下：</w:t>
      </w:r>
    </w:p>
    <w:p>
      <w:pPr>
        <w:pStyle w:val="24"/>
        <w:rPr>
          <w:shd w:val="clear" w:color="auto" w:fill="FFFFFF"/>
        </w:rPr>
      </w:pPr>
      <w:r>
        <w:rPr>
          <w:rFonts w:hint="eastAsia"/>
          <w:shd w:val="clear" w:color="auto" w:fill="FFFFFF"/>
        </w:rPr>
        <w:t>2.金额：4万元。</w:t>
      </w:r>
    </w:p>
    <w:p>
      <w:pPr>
        <w:pStyle w:val="24"/>
        <w:rPr>
          <w:shd w:val="clear" w:color="auto" w:fill="FFFFFF"/>
        </w:rPr>
      </w:pPr>
      <w:r>
        <w:rPr>
          <w:rFonts w:hint="eastAsia"/>
          <w:shd w:val="clear" w:color="auto" w:fill="FFFFFF"/>
        </w:rPr>
        <w:t>3.缴纳截止时间：本项目提交投标文件截止时间。</w:t>
      </w:r>
    </w:p>
    <w:p>
      <w:pPr>
        <w:pStyle w:val="24"/>
        <w:rPr>
          <w:shd w:val="clear" w:color="auto" w:fill="FFFFFF"/>
        </w:rPr>
      </w:pPr>
      <w:r>
        <w:rPr>
          <w:rFonts w:hint="eastAsia"/>
          <w:shd w:val="clear" w:color="auto" w:fill="FFFFFF"/>
        </w:rPr>
        <w:t>4.采取汇款方式缴纳的，投标保证金应当从报价供应商的银行账户缴纳且在投标截止时间前到达采购机构账户内，同时将支付凭证通过投标文件一并提交，以凭证为准，否则视为无效投标；投标人在汇款时应当在备注信息中注明本项目的编号及用途（如“项目编号，投标保证金”），以便采购机构的财务人员查证入账。</w:t>
      </w:r>
    </w:p>
    <w:p>
      <w:pPr>
        <w:pStyle w:val="24"/>
        <w:rPr>
          <w:shd w:val="clear" w:color="auto" w:fill="FFFFFF"/>
        </w:rPr>
      </w:pPr>
      <w:r>
        <w:rPr>
          <w:rFonts w:hint="eastAsia"/>
          <w:shd w:val="clear" w:color="auto" w:fill="FFFFFF"/>
        </w:rPr>
        <w:t>账户名称：广州市政府采购中心；</w:t>
      </w:r>
    </w:p>
    <w:p>
      <w:pPr>
        <w:pStyle w:val="24"/>
        <w:rPr>
          <w:shd w:val="clear" w:color="auto" w:fill="FFFFFF"/>
        </w:rPr>
      </w:pPr>
      <w:r>
        <w:rPr>
          <w:rFonts w:hint="eastAsia"/>
          <w:shd w:val="clear" w:color="auto" w:fill="FFFFFF"/>
        </w:rPr>
        <w:t>银行账号：3602085729208888868；</w:t>
      </w:r>
    </w:p>
    <w:p>
      <w:pPr>
        <w:pStyle w:val="24"/>
        <w:rPr>
          <w:shd w:val="clear" w:color="auto" w:fill="FFFFFF"/>
        </w:rPr>
      </w:pPr>
      <w:r>
        <w:rPr>
          <w:rFonts w:hint="eastAsia"/>
          <w:shd w:val="clear" w:color="auto" w:fill="FFFFFF"/>
        </w:rPr>
        <w:t>开户行:中国工商银行广州太阳广场支行。</w:t>
      </w:r>
    </w:p>
    <w:p>
      <w:pPr>
        <w:pStyle w:val="24"/>
        <w:rPr>
          <w:shd w:val="clear" w:color="auto" w:fill="FFFFFF"/>
        </w:rPr>
      </w:pPr>
      <w:r>
        <w:rPr>
          <w:rFonts w:hint="eastAsia"/>
          <w:shd w:val="clear" w:color="auto" w:fill="FFFFFF"/>
        </w:rPr>
        <w:t>5.采用保函、担保或保证保险等方式缴纳的，投标人应在文件中提交其佐证材料的扫描件。保函、担保或保证保险(不限制其开具机构及其出具格式)。有效期超过投标有效期 30 天。</w:t>
      </w:r>
    </w:p>
    <w:p>
      <w:pPr>
        <w:pStyle w:val="24"/>
        <w:rPr>
          <w:shd w:val="clear" w:color="auto" w:fill="FFFFFF"/>
        </w:rPr>
      </w:pPr>
      <w:r>
        <w:rPr>
          <w:rFonts w:hint="eastAsia"/>
          <w:shd w:val="clear" w:color="auto" w:fill="FFFFFF"/>
        </w:rPr>
        <w:t>6.中标人的投标保证金，在签订正式合同后5个工作日内全额无息退还。未中标的投标保证金，将在采购代理机构发出结果公告后5个工作日内全额无息退还。</w:t>
      </w:r>
    </w:p>
    <w:p>
      <w:pPr>
        <w:pStyle w:val="24"/>
        <w:rPr>
          <w:shd w:val="clear" w:color="auto" w:fill="FFFFFF"/>
        </w:rPr>
      </w:pPr>
      <w:r>
        <w:rPr>
          <w:rFonts w:hint="eastAsia"/>
          <w:shd w:val="clear" w:color="auto" w:fill="FFFFFF"/>
        </w:rPr>
        <w:t>7.有下列情况之一的，投标保证金将不予退还：</w:t>
      </w:r>
    </w:p>
    <w:p>
      <w:pPr>
        <w:pStyle w:val="24"/>
        <w:rPr>
          <w:shd w:val="clear" w:color="auto" w:fill="FFFFFF"/>
        </w:rPr>
      </w:pPr>
      <w:r>
        <w:rPr>
          <w:rFonts w:hint="eastAsia"/>
          <w:shd w:val="clear" w:color="auto" w:fill="FFFFFF"/>
        </w:rPr>
        <w:t>（1）投标人在提交投标文件截止时间后，在投标有效期内撤回其投文件的；</w:t>
      </w:r>
    </w:p>
    <w:p>
      <w:pPr>
        <w:pStyle w:val="24"/>
        <w:rPr>
          <w:shd w:val="clear" w:color="auto" w:fill="FFFFFF"/>
        </w:rPr>
      </w:pPr>
      <w:r>
        <w:rPr>
          <w:rFonts w:hint="eastAsia"/>
          <w:shd w:val="clear" w:color="auto" w:fill="FFFFFF"/>
        </w:rPr>
        <w:t>（2）投标人干扰投标或评审活动，造成严重影响和后果的；</w:t>
      </w:r>
    </w:p>
    <w:p>
      <w:pPr>
        <w:pStyle w:val="24"/>
        <w:rPr>
          <w:shd w:val="clear" w:color="auto" w:fill="FFFFFF"/>
        </w:rPr>
      </w:pPr>
      <w:r>
        <w:rPr>
          <w:rFonts w:hint="eastAsia"/>
          <w:shd w:val="clear" w:color="auto" w:fill="FFFFFF"/>
        </w:rPr>
        <w:t>（3）虚假报价或恶意串通的；</w:t>
      </w:r>
    </w:p>
    <w:p>
      <w:pPr>
        <w:pStyle w:val="24"/>
        <w:rPr>
          <w:shd w:val="clear" w:color="auto" w:fill="FFFFFF"/>
        </w:rPr>
      </w:pPr>
      <w:r>
        <w:rPr>
          <w:rFonts w:hint="eastAsia"/>
          <w:shd w:val="clear" w:color="auto" w:fill="FFFFFF"/>
        </w:rPr>
        <w:t>（4）中标人无正当理由放弃成交的；</w:t>
      </w:r>
    </w:p>
    <w:p>
      <w:pPr>
        <w:pStyle w:val="24"/>
        <w:rPr>
          <w:shd w:val="clear" w:color="auto" w:fill="FFFFFF"/>
        </w:rPr>
      </w:pPr>
      <w:bookmarkStart w:id="8" w:name="_Hlk130371293"/>
      <w:r>
        <w:rPr>
          <w:rFonts w:hint="eastAsia"/>
          <w:shd w:val="clear" w:color="auto" w:fill="FFFFFF"/>
        </w:rPr>
        <w:t>（5）中标人无正当理由不与采购单位订立合同，在签订合同时向采购单位提出附加条件，或不按照招标文件要求提交履约保证金的</w:t>
      </w:r>
      <w:bookmarkEnd w:id="8"/>
      <w:r>
        <w:rPr>
          <w:rFonts w:hint="eastAsia"/>
          <w:shd w:val="clear" w:color="auto" w:fill="FFFFFF"/>
        </w:rPr>
        <w:t>；</w:t>
      </w:r>
    </w:p>
    <w:p>
      <w:pPr>
        <w:pStyle w:val="24"/>
        <w:rPr>
          <w:shd w:val="clear" w:color="auto" w:fill="FFFFFF"/>
        </w:rPr>
      </w:pPr>
      <w:r>
        <w:rPr>
          <w:rFonts w:hint="eastAsia"/>
          <w:shd w:val="clear" w:color="auto" w:fill="FFFFFF"/>
        </w:rPr>
        <w:t>（6）其他违反国家法律法规行为的。</w:t>
      </w:r>
    </w:p>
    <w:p>
      <w:pPr>
        <w:rPr>
          <w:shd w:val="clear" w:color="auto" w:fill="FFFFFF"/>
        </w:rPr>
      </w:pPr>
      <w:r>
        <w:rPr>
          <w:rFonts w:hint="eastAsia"/>
          <w:shd w:val="clear" w:color="auto" w:fill="FFFFFF"/>
        </w:rPr>
        <w:br w:type="page"/>
      </w:r>
    </w:p>
    <w:p>
      <w:pPr>
        <w:jc w:val="center"/>
        <w:outlineLvl w:val="0"/>
        <w:rPr>
          <w:rFonts w:ascii="宋体"/>
          <w:b/>
          <w:sz w:val="30"/>
        </w:rPr>
      </w:pPr>
      <w:r>
        <w:rPr>
          <w:rFonts w:hint="eastAsia" w:ascii="宋体"/>
          <w:b/>
          <w:sz w:val="30"/>
        </w:rPr>
        <w:t>第二章 采购需求</w:t>
      </w:r>
    </w:p>
    <w:p>
      <w:pPr>
        <w:spacing w:line="360" w:lineRule="auto"/>
        <w:rPr>
          <w:b/>
          <w:sz w:val="32"/>
        </w:rPr>
      </w:pPr>
      <w:r>
        <w:rPr>
          <w:b/>
          <w:sz w:val="32"/>
        </w:rPr>
        <w:t>一、项目概况</w:t>
      </w:r>
    </w:p>
    <w:p>
      <w:pPr>
        <w:spacing w:line="360" w:lineRule="auto"/>
        <w:ind w:firstLine="482" w:firstLineChars="201"/>
        <w:rPr>
          <w:rFonts w:ascii="宋体" w:cs="宋体"/>
          <w:szCs w:val="24"/>
        </w:rPr>
      </w:pPr>
      <w:r>
        <w:rPr>
          <w:rFonts w:hint="eastAsia" w:ascii="宋体" w:cs="宋体"/>
          <w:szCs w:val="24"/>
        </w:rPr>
        <w:t>项目属性：服务类。</w:t>
      </w:r>
    </w:p>
    <w:p>
      <w:pPr>
        <w:spacing w:line="360" w:lineRule="auto"/>
        <w:ind w:firstLine="482" w:firstLineChars="201"/>
        <w:rPr>
          <w:rFonts w:ascii="宋体" w:cs="宋体"/>
          <w:szCs w:val="24"/>
        </w:rPr>
      </w:pPr>
      <w:r>
        <w:rPr>
          <w:rFonts w:hint="eastAsia" w:ascii="宋体" w:cs="宋体"/>
          <w:szCs w:val="24"/>
        </w:rPr>
        <w:t>本项目采购标的对应的中小微企业划分标准所属行业为：批发业。</w:t>
      </w:r>
    </w:p>
    <w:p>
      <w:pPr>
        <w:spacing w:line="360" w:lineRule="auto"/>
        <w:ind w:firstLine="482" w:firstLineChars="201"/>
        <w:rPr>
          <w:rFonts w:ascii="宋体" w:cs="宋体"/>
          <w:szCs w:val="24"/>
        </w:rPr>
      </w:pPr>
      <w:r>
        <w:rPr>
          <w:rFonts w:hint="eastAsia" w:ascii="宋体" w:cs="宋体"/>
          <w:szCs w:val="24"/>
        </w:rPr>
        <w:t>★中标人须在中标结果公告之日起2个工作日内向采购代理机构提供纸质投标文件2套（封面需加盖单位公章及骑缝章），纸质投标文件需与电子投标文件内容保持一致。投标文件内提供承诺函，格式自拟（依据实质性响应一览表及承诺函）。</w:t>
      </w:r>
    </w:p>
    <w:p>
      <w:pPr>
        <w:spacing w:line="360" w:lineRule="auto"/>
        <w:ind w:firstLine="482" w:firstLineChars="201"/>
        <w:rPr>
          <w:rFonts w:hint="eastAsia" w:ascii="宋体" w:eastAsia="宋体" w:cs="宋体"/>
          <w:szCs w:val="24"/>
        </w:rPr>
      </w:pPr>
      <w:r>
        <w:rPr>
          <w:rFonts w:hint="eastAsia" w:cs="宋体"/>
          <w:sz w:val="24"/>
          <w:szCs w:val="24"/>
        </w:rPr>
        <w:t>为了做好广州海关后勤管理中心的食堂规范管理工作，确保食品安全、卫生，拟对广州海关</w:t>
      </w:r>
      <w:r>
        <w:rPr>
          <w:rFonts w:hint="eastAsia" w:ascii="宋体" w:eastAsia="宋体" w:cs="宋体"/>
          <w:szCs w:val="24"/>
        </w:rPr>
        <w:t>机关大楼食堂、南办公区食堂、海欣阁食堂的食品（粮油、调味品、干货、水果及奶制品类）的供货配送服务采用公开招标方式进行招标。</w:t>
      </w:r>
    </w:p>
    <w:p>
      <w:pPr>
        <w:spacing w:line="360" w:lineRule="auto"/>
        <w:ind w:firstLine="482" w:firstLineChars="201"/>
        <w:rPr>
          <w:rFonts w:hint="eastAsia" w:ascii="宋体" w:eastAsia="宋体" w:cs="宋体"/>
          <w:szCs w:val="24"/>
        </w:rPr>
      </w:pPr>
      <w:r>
        <w:rPr>
          <w:rFonts w:hint="eastAsia" w:ascii="宋体" w:eastAsia="宋体" w:cs="宋体"/>
          <w:szCs w:val="24"/>
        </w:rPr>
        <w:t>本项目配送地点分为：广州海关机关大楼（广州市天河区花城大道83号、人数约800人）、广州海关南办公区（广州市天河区花城大道66号、约1200人）及海欣阁管理部（广州市天河区石牌西路88号、人数约500人）3个配送地点，项目服务对象人数合计约2500人,每日按照采购人要求分别进行配送。</w:t>
      </w:r>
    </w:p>
    <w:p>
      <w:pPr>
        <w:spacing w:line="360" w:lineRule="auto"/>
        <w:ind w:firstLine="482" w:firstLineChars="201"/>
        <w:rPr>
          <w:rFonts w:ascii="宋体" w:cs="宋体"/>
          <w:szCs w:val="24"/>
        </w:rPr>
      </w:pPr>
      <w:r>
        <w:rPr>
          <w:rFonts w:hint="eastAsia" w:ascii="宋体" w:eastAsia="宋体" w:cs="宋体"/>
          <w:szCs w:val="24"/>
        </w:rPr>
        <w:t>本采购包共确定一个中标</w:t>
      </w:r>
      <w:r>
        <w:rPr>
          <w:rFonts w:hint="eastAsia" w:ascii="宋体" w:cs="宋体"/>
          <w:szCs w:val="24"/>
        </w:rPr>
        <w:t>人，与采购人签订服务合同。合同履行期间，具体</w:t>
      </w:r>
      <w:bookmarkStart w:id="9" w:name="baidusnap4"/>
      <w:bookmarkEnd w:id="9"/>
      <w:r>
        <w:rPr>
          <w:rFonts w:hint="eastAsia" w:ascii="宋体" w:cs="宋体"/>
          <w:szCs w:val="24"/>
        </w:rPr>
        <w:t>配送数量以实际发生的数量为准，采购人</w:t>
      </w:r>
      <w:bookmarkStart w:id="10" w:name="baidusnap1"/>
      <w:bookmarkEnd w:id="10"/>
      <w:r>
        <w:rPr>
          <w:rFonts w:hint="eastAsia" w:ascii="宋体" w:cs="宋体"/>
          <w:szCs w:val="24"/>
        </w:rPr>
        <w:t>不承诺食材的实际采购数量，请各投标人自行评估投标风险。合同履行期间，若配送服务与招标文件中各配送品种质量要求不一致，或提供不合格食品或不按要求配送，或延迟配送影响正常就餐的，采购人有权单方面解除服务合同，如造成事故的一并追究其法律责任。</w:t>
      </w:r>
    </w:p>
    <w:p>
      <w:pPr>
        <w:tabs>
          <w:tab w:val="left" w:pos="525"/>
          <w:tab w:val="left" w:pos="846"/>
        </w:tabs>
        <w:autoSpaceDE w:val="0"/>
        <w:autoSpaceDN w:val="0"/>
        <w:adjustRightInd w:val="0"/>
        <w:spacing w:line="360" w:lineRule="auto"/>
        <w:ind w:left="420" w:hanging="420"/>
        <w:outlineLvl w:val="1"/>
        <w:rPr>
          <w:rFonts w:ascii="宋体" w:cs="宋体"/>
          <w:b/>
          <w:bCs/>
          <w:szCs w:val="24"/>
        </w:rPr>
      </w:pPr>
      <w:r>
        <w:rPr>
          <w:rFonts w:hint="eastAsia" w:ascii="宋体" w:cs="宋体"/>
          <w:b/>
          <w:bCs/>
          <w:szCs w:val="24"/>
        </w:rPr>
        <w:t>二、总体要求</w:t>
      </w:r>
    </w:p>
    <w:p>
      <w:pPr>
        <w:spacing w:line="360" w:lineRule="auto"/>
        <w:ind w:firstLine="482" w:firstLineChars="201"/>
        <w:rPr>
          <w:rFonts w:ascii="宋体" w:cs="宋体"/>
          <w:szCs w:val="24"/>
        </w:rPr>
      </w:pPr>
      <w:r>
        <w:rPr>
          <w:rFonts w:hint="eastAsia" w:ascii="宋体" w:cs="宋体"/>
          <w:szCs w:val="24"/>
        </w:rPr>
        <w:t>1、投标人配送的食材必须符合《中华人民共和国食品安全法》要求。</w:t>
      </w:r>
    </w:p>
    <w:p>
      <w:pPr>
        <w:spacing w:line="360" w:lineRule="auto"/>
        <w:ind w:firstLine="482" w:firstLineChars="201"/>
        <w:rPr>
          <w:rFonts w:ascii="宋体" w:cs="宋体"/>
          <w:szCs w:val="24"/>
        </w:rPr>
      </w:pPr>
      <w:r>
        <w:rPr>
          <w:rFonts w:hint="eastAsia" w:ascii="宋体" w:cs="宋体"/>
          <w:szCs w:val="24"/>
        </w:rPr>
        <w:t>2、所提供食材必须符合国家及行业对生产及经营的标准要求，货真价实，所提供食材均能提供相应批次的合格检验证明；明确食品供应链，所有食材的来源必须清晰，预包装食品要有SC食品生产认证。食品来源应当是受到地方政府部门监管的流通市场或具有相关资质的厂家生产，生产的源头与投标人要有固定的合法的供应关系，严禁投标人收购非标准产品供应给采购人。投标人应对食品的来源和质量标准有详尽的描述。验收须符合行业标准和感官标准。</w:t>
      </w:r>
    </w:p>
    <w:p>
      <w:pPr>
        <w:spacing w:line="360" w:lineRule="auto"/>
        <w:ind w:firstLine="482" w:firstLineChars="201"/>
        <w:rPr>
          <w:rFonts w:ascii="宋体" w:cs="宋体"/>
          <w:szCs w:val="24"/>
        </w:rPr>
      </w:pPr>
      <w:r>
        <w:rPr>
          <w:rFonts w:hint="eastAsia" w:ascii="宋体" w:cs="宋体"/>
          <w:szCs w:val="24"/>
        </w:rPr>
        <w:t>3、投标人所提供的食品各项技术指标必须完全符合国家有关质量检测、环保标准及产品出厂标准。</w:t>
      </w:r>
    </w:p>
    <w:p>
      <w:pPr>
        <w:spacing w:line="360" w:lineRule="auto"/>
        <w:ind w:firstLine="482" w:firstLineChars="201"/>
        <w:rPr>
          <w:rFonts w:ascii="宋体" w:cs="宋体"/>
          <w:szCs w:val="24"/>
        </w:rPr>
      </w:pPr>
      <w:r>
        <w:rPr>
          <w:rFonts w:hint="eastAsia" w:ascii="宋体" w:cs="宋体"/>
          <w:szCs w:val="24"/>
        </w:rPr>
        <w:t>4、所有食材指标要符合国家强制性标准要求，均具有检验合格报告。</w:t>
      </w:r>
    </w:p>
    <w:p>
      <w:pPr>
        <w:spacing w:line="360" w:lineRule="auto"/>
        <w:ind w:firstLine="484" w:firstLineChars="202"/>
        <w:rPr>
          <w:rFonts w:ascii="宋体" w:cs="宋体"/>
          <w:szCs w:val="24"/>
        </w:rPr>
      </w:pPr>
      <w:r>
        <w:rPr>
          <w:rFonts w:hint="eastAsia" w:ascii="宋体" w:cs="宋体"/>
          <w:szCs w:val="24"/>
        </w:rPr>
        <w:t>5、采购人以电话或网络通信方式向中标人下订单，订单内容包括食品的名称、规格、数量等，中标人须做好订单书面记录。</w:t>
      </w:r>
    </w:p>
    <w:p>
      <w:pPr>
        <w:spacing w:line="360" w:lineRule="auto"/>
        <w:ind w:firstLine="484" w:firstLineChars="202"/>
        <w:rPr>
          <w:rFonts w:ascii="宋体" w:cs="宋体"/>
          <w:szCs w:val="24"/>
        </w:rPr>
      </w:pPr>
      <w:r>
        <w:rPr>
          <w:rFonts w:hint="eastAsia" w:ascii="宋体" w:cs="宋体"/>
          <w:szCs w:val="24"/>
        </w:rPr>
        <w:t>6、中标人须在接到采购人订单之日的第二天7:00前（或与采购人约定的时间前）将采购人所订购的食品送至采购人指定地点。如果采购人临时改变订购的食品种类、规格、数量等，中标人须在接到通知后2小时内送达，待采购人验收、核对后，配送才算完成。</w:t>
      </w:r>
    </w:p>
    <w:p>
      <w:pPr>
        <w:spacing w:line="360" w:lineRule="auto"/>
        <w:ind w:firstLine="484" w:firstLineChars="202"/>
        <w:rPr>
          <w:rFonts w:ascii="宋体" w:cs="宋体"/>
          <w:szCs w:val="24"/>
        </w:rPr>
      </w:pPr>
      <w:r>
        <w:rPr>
          <w:rFonts w:hint="eastAsia" w:ascii="宋体" w:cs="宋体"/>
          <w:szCs w:val="24"/>
        </w:rPr>
        <w:t>7、中标人每天需做好各种食材的索证记录，按采购人的要求上交。</w:t>
      </w:r>
    </w:p>
    <w:p>
      <w:pPr>
        <w:spacing w:line="360" w:lineRule="auto"/>
        <w:ind w:firstLine="484" w:firstLineChars="202"/>
        <w:rPr>
          <w:rFonts w:ascii="宋体" w:cs="宋体"/>
          <w:szCs w:val="24"/>
        </w:rPr>
      </w:pPr>
      <w:r>
        <w:rPr>
          <w:rFonts w:hint="eastAsia" w:ascii="宋体" w:cs="宋体"/>
          <w:szCs w:val="24"/>
        </w:rPr>
        <w:t>8、中标人所提供的食材必须符合卫生标准和营养要求，无毒无害，具有良好的感官性状，包装类食品剩余保质期不得低于三分之二，每次送交的所有食材的来源和质量标准有详尽的描述，否则采购人有权退货，中标人必须在1小时内予以退换补货。</w:t>
      </w:r>
    </w:p>
    <w:p>
      <w:pPr>
        <w:spacing w:line="360" w:lineRule="auto"/>
        <w:ind w:firstLine="484" w:firstLineChars="202"/>
        <w:rPr>
          <w:rFonts w:ascii="宋体" w:cs="宋体"/>
          <w:szCs w:val="24"/>
        </w:rPr>
      </w:pPr>
      <w:r>
        <w:rPr>
          <w:rFonts w:hint="eastAsia" w:ascii="宋体" w:cs="宋体"/>
          <w:szCs w:val="24"/>
        </w:rPr>
        <w:t>9、</w:t>
      </w:r>
      <w:r>
        <w:rPr>
          <w:rFonts w:hint="eastAsia" w:ascii="宋体" w:cs="宋体"/>
        </w:rPr>
        <w:t>本项目配备一名项目负责人，项目负责人需具备大专或以上学历，具有3年或以上相关工作经验，</w:t>
      </w:r>
      <w:r>
        <w:rPr>
          <w:rFonts w:hint="eastAsia" w:ascii="宋体" w:cs="宋体"/>
          <w:szCs w:val="24"/>
        </w:rPr>
        <w:t>以保证能更好的为本项目服务。本项目投入人员应具有相应的专业性，能对食材供应的安全、质量管控等有保障性。</w:t>
      </w:r>
    </w:p>
    <w:p>
      <w:pPr>
        <w:spacing w:line="360" w:lineRule="auto"/>
        <w:ind w:firstLine="484" w:firstLineChars="202"/>
        <w:rPr>
          <w:rFonts w:ascii="宋体" w:cs="宋体"/>
          <w:szCs w:val="24"/>
        </w:rPr>
      </w:pPr>
      <w:r>
        <w:rPr>
          <w:rFonts w:hint="eastAsia" w:ascii="宋体" w:cs="宋体"/>
          <w:szCs w:val="24"/>
        </w:rPr>
        <w:t>10、每次配送，中标人须委派一名责任人，负责食品的运输及过秤，并协助采购人验收，食材品种和重量以采购人验收的结果为准。</w:t>
      </w:r>
    </w:p>
    <w:p>
      <w:pPr>
        <w:spacing w:line="360" w:lineRule="auto"/>
        <w:ind w:firstLine="484" w:firstLineChars="202"/>
        <w:rPr>
          <w:rFonts w:ascii="宋体" w:cs="宋体"/>
          <w:szCs w:val="24"/>
        </w:rPr>
      </w:pPr>
      <w:r>
        <w:rPr>
          <w:rFonts w:hint="eastAsia" w:ascii="宋体" w:cs="宋体"/>
          <w:szCs w:val="24"/>
        </w:rPr>
        <w:t>11、响应机制：在合同执行过程中采购人可根据实际情况对需求进行调整，中标人在接到采购人通知后1个小时内送达。</w:t>
      </w:r>
    </w:p>
    <w:p>
      <w:pPr>
        <w:spacing w:line="360" w:lineRule="auto"/>
        <w:ind w:firstLine="484" w:firstLineChars="202"/>
        <w:rPr>
          <w:rFonts w:ascii="宋体" w:cs="宋体"/>
          <w:szCs w:val="24"/>
        </w:rPr>
      </w:pPr>
      <w:r>
        <w:rPr>
          <w:rFonts w:hint="eastAsia" w:ascii="宋体" w:cs="宋体"/>
          <w:szCs w:val="24"/>
        </w:rPr>
        <w:t>12、关于仓储要求，为了能快速响应匹配本项目配送需求，中标人具备自有或租赁配送场地，投标人配有低温冷库可满足食材的保鲜。</w:t>
      </w:r>
    </w:p>
    <w:p>
      <w:pPr>
        <w:spacing w:line="360" w:lineRule="auto"/>
        <w:ind w:firstLine="484" w:firstLineChars="202"/>
        <w:rPr>
          <w:rFonts w:ascii="宋体" w:cs="宋体"/>
          <w:szCs w:val="24"/>
        </w:rPr>
      </w:pPr>
      <w:r>
        <w:rPr>
          <w:rFonts w:hint="eastAsia" w:ascii="宋体" w:cs="宋体"/>
          <w:szCs w:val="24"/>
        </w:rPr>
        <w:t>13、特殊情况或紧急所需要食材，中标人无法在要求时间内提供的，委托采购人代买，所产生的款项由中标人支付。</w:t>
      </w:r>
    </w:p>
    <w:p>
      <w:pPr>
        <w:spacing w:line="360" w:lineRule="auto"/>
        <w:ind w:firstLine="484" w:firstLineChars="202"/>
        <w:rPr>
          <w:rFonts w:ascii="宋体" w:cs="宋体"/>
          <w:szCs w:val="24"/>
        </w:rPr>
      </w:pPr>
      <w:r>
        <w:rPr>
          <w:rFonts w:hint="eastAsia" w:ascii="宋体" w:cs="宋体"/>
          <w:szCs w:val="24"/>
        </w:rPr>
        <w:t>14、中标人在合同履行期间内保证对采购人的食材供应，若中标后不能履行合同的，视为中标人严重违约，采购人有权单方终止本合同，由此产生的一切经济损失由中标人自行承担。</w:t>
      </w:r>
    </w:p>
    <w:p>
      <w:pPr>
        <w:spacing w:line="360" w:lineRule="auto"/>
        <w:ind w:firstLine="241" w:firstLineChars="100"/>
        <w:rPr>
          <w:rFonts w:ascii="宋体" w:cs="宋体"/>
          <w:szCs w:val="24"/>
        </w:rPr>
      </w:pPr>
      <w:r>
        <w:rPr>
          <w:rFonts w:hint="eastAsia" w:ascii="宋体" w:cs="宋体"/>
          <w:b/>
          <w:szCs w:val="24"/>
        </w:rPr>
        <w:t>★</w:t>
      </w:r>
      <w:r>
        <w:rPr>
          <w:rFonts w:hint="eastAsia" w:ascii="宋体" w:cs="宋体"/>
          <w:szCs w:val="24"/>
        </w:rPr>
        <w:t>15、按合同约定配送，中标人不可转包，否则采购人有权单方面终止合同，中标人承担由此给采购人造成的一切损失。</w:t>
      </w:r>
    </w:p>
    <w:p>
      <w:pPr>
        <w:spacing w:line="360" w:lineRule="auto"/>
        <w:ind w:firstLine="484" w:firstLineChars="202"/>
        <w:rPr>
          <w:rFonts w:ascii="宋体" w:cs="宋体"/>
          <w:szCs w:val="24"/>
        </w:rPr>
      </w:pPr>
      <w:r>
        <w:rPr>
          <w:rFonts w:hint="eastAsia" w:ascii="宋体" w:cs="宋体"/>
          <w:szCs w:val="24"/>
        </w:rPr>
        <w:t>16、中标人应做好本单位工作人员的教育工作，遵守采购人各项规定。</w:t>
      </w:r>
    </w:p>
    <w:p>
      <w:pPr>
        <w:spacing w:line="360" w:lineRule="auto"/>
        <w:ind w:firstLine="484" w:firstLineChars="202"/>
        <w:rPr>
          <w:rFonts w:ascii="宋体" w:cs="宋体"/>
          <w:szCs w:val="24"/>
        </w:rPr>
      </w:pPr>
      <w:r>
        <w:rPr>
          <w:rFonts w:hint="eastAsia" w:ascii="宋体" w:cs="宋体"/>
          <w:szCs w:val="24"/>
        </w:rPr>
        <w:t>17、中标人除不可抗力因素外，不得因其他任何理由延迟送货。如遇特殊情况需推迟送货，应至少提前3小时通知采购人。因中标人延误配送时间的（采购人要求推迟的除外），采购人有权自行采购，并由中标人承担由此产生的一切损失和费用。</w:t>
      </w:r>
    </w:p>
    <w:p>
      <w:pPr>
        <w:spacing w:line="360" w:lineRule="auto"/>
        <w:ind w:firstLine="484" w:firstLineChars="202"/>
        <w:rPr>
          <w:rFonts w:ascii="宋体" w:cs="宋体"/>
          <w:szCs w:val="24"/>
        </w:rPr>
      </w:pPr>
      <w:r>
        <w:rPr>
          <w:rFonts w:hint="eastAsia" w:ascii="宋体" w:cs="宋体"/>
          <w:szCs w:val="24"/>
        </w:rPr>
        <w:t xml:space="preserve">18、由采购人对食材进行验收，对不符合质量要求的，中标人必须无条件退货、换货；中标人未能履行合同所定事项，或供应不合格的、假冒伪劣、以次充好的食材，采购人退货后将记录在案，并有权要求中标人赔偿因此给采购人造成的一切损失并承担违约责任。情节严重的，采购人可单方面解除合同。 </w:t>
      </w:r>
    </w:p>
    <w:p>
      <w:pPr>
        <w:spacing w:line="360" w:lineRule="auto"/>
        <w:ind w:firstLine="484" w:firstLineChars="202"/>
        <w:rPr>
          <w:rFonts w:ascii="宋体" w:cs="宋体"/>
          <w:szCs w:val="24"/>
        </w:rPr>
      </w:pPr>
      <w:r>
        <w:rPr>
          <w:rFonts w:hint="eastAsia" w:ascii="宋体" w:cs="宋体"/>
          <w:szCs w:val="24"/>
        </w:rPr>
        <w:t>19、采购人有权进行不定期检查，有权对配送食材质量进行检测，必要时采取第三方有资质的检测机构认定食材质量，如发现不符合合同规定的食材，采购人第一次给予口头警告，第二次给予书面警告，中标人均需无条件收回所供应的食材并给予采购人书面答复说明原因，并在1小时内更换好所需食品。如第三次发现不符合合同规定的食品，采购人可单方面解除合同，并将情况反应市场监管部门。中标人承担由此给采购人造成的一切损失。</w:t>
      </w:r>
    </w:p>
    <w:p>
      <w:pPr>
        <w:spacing w:line="360" w:lineRule="auto"/>
        <w:ind w:firstLine="484" w:firstLineChars="202"/>
        <w:rPr>
          <w:rFonts w:ascii="宋体" w:cs="宋体"/>
          <w:szCs w:val="24"/>
        </w:rPr>
      </w:pPr>
      <w:r>
        <w:rPr>
          <w:rFonts w:hint="eastAsia" w:ascii="宋体" w:cs="宋体"/>
          <w:szCs w:val="24"/>
        </w:rPr>
        <w:t>20、中标人一月内被有效投诉3次或造成安全（监管和食品卫生）事故的，采购人可单方面解除合同，中标人承担由此给采购人造成的一切损失和责任。</w:t>
      </w:r>
    </w:p>
    <w:p>
      <w:pPr>
        <w:spacing w:line="360" w:lineRule="auto"/>
        <w:ind w:firstLine="484" w:firstLineChars="202"/>
        <w:rPr>
          <w:rFonts w:ascii="宋体" w:cs="宋体"/>
          <w:szCs w:val="24"/>
        </w:rPr>
      </w:pPr>
      <w:r>
        <w:rPr>
          <w:rFonts w:hint="eastAsia" w:ascii="宋体" w:cs="宋体"/>
          <w:szCs w:val="24"/>
        </w:rPr>
        <w:t>21、对于非免税的食材，中标人应当提供有效的增值税专用发票。免税食材，投标人提供免税证明材料及增值税普通发票（投标时提供合法免税证明材料复印件）。</w:t>
      </w:r>
    </w:p>
    <w:p>
      <w:pPr>
        <w:tabs>
          <w:tab w:val="left" w:pos="525"/>
          <w:tab w:val="left" w:pos="846"/>
        </w:tabs>
        <w:autoSpaceDE w:val="0"/>
        <w:autoSpaceDN w:val="0"/>
        <w:adjustRightInd w:val="0"/>
        <w:spacing w:line="360" w:lineRule="auto"/>
        <w:ind w:left="420" w:hanging="420"/>
        <w:outlineLvl w:val="1"/>
        <w:rPr>
          <w:rFonts w:ascii="宋体" w:cs="宋体"/>
          <w:b/>
          <w:bCs/>
          <w:szCs w:val="24"/>
        </w:rPr>
      </w:pPr>
      <w:r>
        <w:rPr>
          <w:rFonts w:hint="eastAsia" w:ascii="宋体" w:cs="宋体"/>
          <w:b/>
          <w:bCs/>
          <w:szCs w:val="24"/>
        </w:rPr>
        <w:t>三、具体要求</w:t>
      </w:r>
    </w:p>
    <w:p>
      <w:pPr>
        <w:spacing w:line="360" w:lineRule="auto"/>
        <w:ind w:firstLine="487" w:firstLineChars="202"/>
        <w:rPr>
          <w:rFonts w:ascii="宋体" w:cs="宋体"/>
          <w:b/>
          <w:szCs w:val="24"/>
        </w:rPr>
      </w:pPr>
      <w:r>
        <w:rPr>
          <w:rFonts w:hint="eastAsia" w:ascii="宋体" w:cs="宋体"/>
          <w:b/>
          <w:szCs w:val="24"/>
        </w:rPr>
        <w:t>（一）食材总体质量要求</w:t>
      </w:r>
    </w:p>
    <w:p>
      <w:pPr>
        <w:spacing w:line="360" w:lineRule="auto"/>
        <w:ind w:firstLine="484" w:firstLineChars="202"/>
        <w:rPr>
          <w:rFonts w:ascii="宋体" w:cs="宋体"/>
          <w:szCs w:val="24"/>
        </w:rPr>
      </w:pPr>
      <w:r>
        <w:rPr>
          <w:rFonts w:hint="eastAsia" w:ascii="宋体" w:cs="宋体"/>
          <w:szCs w:val="24"/>
        </w:rPr>
        <w:t>1、所供食材应保持较好的外观和质量等级，符合国家食品部门的有关标准，保证无异味、无霉烂变质。</w:t>
      </w:r>
    </w:p>
    <w:p>
      <w:pPr>
        <w:spacing w:line="360" w:lineRule="auto"/>
        <w:ind w:firstLine="484" w:firstLineChars="202"/>
        <w:rPr>
          <w:rFonts w:ascii="宋体" w:cs="宋体"/>
          <w:szCs w:val="24"/>
        </w:rPr>
      </w:pPr>
      <w:r>
        <w:rPr>
          <w:rFonts w:hint="eastAsia" w:ascii="宋体" w:cs="宋体"/>
          <w:szCs w:val="24"/>
        </w:rPr>
        <w:t>2、所有食材规格符合采购人提交的日采购计划中明确的具体需求。</w:t>
      </w:r>
    </w:p>
    <w:p>
      <w:pPr>
        <w:spacing w:line="360" w:lineRule="auto"/>
        <w:ind w:firstLine="484" w:firstLineChars="202"/>
        <w:rPr>
          <w:rFonts w:ascii="宋体" w:cs="宋体"/>
          <w:szCs w:val="24"/>
        </w:rPr>
      </w:pPr>
      <w:r>
        <w:rPr>
          <w:rFonts w:hint="eastAsia" w:ascii="宋体" w:cs="宋体"/>
          <w:szCs w:val="24"/>
        </w:rPr>
        <w:t>3、食材供应链要求：所有食材的来源必须清晰。采购生产、经营证明文件齐备，明确食品来源，并具有检验合格证明。严禁采购有害、有毒、腐烂变质、酸败、霉变、生虫、污垢不洁、混有异物或其他感官性状异常的食品。</w:t>
      </w:r>
    </w:p>
    <w:p>
      <w:pPr>
        <w:spacing w:line="360" w:lineRule="auto"/>
        <w:ind w:firstLine="484" w:firstLineChars="202"/>
        <w:rPr>
          <w:rFonts w:ascii="宋体" w:cs="宋体"/>
          <w:szCs w:val="24"/>
        </w:rPr>
      </w:pPr>
      <w:r>
        <w:rPr>
          <w:rFonts w:hint="eastAsia" w:ascii="宋体" w:cs="宋体"/>
          <w:szCs w:val="24"/>
        </w:rPr>
        <w:t>4、运输要求：运输工具应清洁卫生无污染，食品运输必须采用符合卫生标准的外包装和运载工具，并且要保持清洁和定期消毒。运输车厢的内仓，包括地面、墙面和顶，应使用抗腐蚀、防潮，易清洁消毒的材料。车厢内无不良气味、异味；运输途中严防日晒、雨淋，注意通风散热；食品堆放科学合理，避免造成食品的交叉污染；如对温度有要求的食材应确定食品的温度，记录送货车辆温度，并记录存档。</w:t>
      </w:r>
    </w:p>
    <w:p>
      <w:pPr>
        <w:spacing w:line="360" w:lineRule="auto"/>
        <w:ind w:firstLine="484" w:firstLineChars="202"/>
        <w:rPr>
          <w:rFonts w:ascii="宋体" w:cs="宋体"/>
          <w:szCs w:val="24"/>
        </w:rPr>
      </w:pPr>
      <w:r>
        <w:rPr>
          <w:rFonts w:hint="eastAsia" w:ascii="宋体" w:cs="宋体"/>
          <w:szCs w:val="24"/>
        </w:rPr>
        <w:t>5、要求中标人的配送半径能够严格保证采购人在食材使用时间上的安排以及保证食品新鲜。对不符合采购要求的食材由验收人员提出清退，退货前应实行留板备案，如双方对质量争议可送国家质监部门检测。对缺斤短两的应按实际重量扣减。</w:t>
      </w:r>
    </w:p>
    <w:p>
      <w:pPr>
        <w:spacing w:line="360" w:lineRule="auto"/>
        <w:ind w:firstLine="482" w:firstLineChars="200"/>
        <w:rPr>
          <w:rFonts w:ascii="宋体" w:cs="宋体"/>
          <w:b/>
          <w:szCs w:val="24"/>
        </w:rPr>
      </w:pPr>
      <w:r>
        <w:rPr>
          <w:rFonts w:hint="eastAsia" w:ascii="宋体" w:cs="宋体"/>
          <w:b/>
          <w:szCs w:val="24"/>
        </w:rPr>
        <w:t>（二）粮油类包装食品</w:t>
      </w:r>
    </w:p>
    <w:p>
      <w:pPr>
        <w:spacing w:line="360" w:lineRule="auto"/>
        <w:ind w:firstLine="484" w:firstLineChars="202"/>
        <w:rPr>
          <w:rFonts w:ascii="宋体" w:cs="宋体"/>
          <w:szCs w:val="24"/>
        </w:rPr>
      </w:pPr>
      <w:r>
        <w:rPr>
          <w:rFonts w:hint="eastAsia" w:ascii="宋体" w:cs="宋体"/>
          <w:szCs w:val="24"/>
        </w:rPr>
        <w:t xml:space="preserve">1、供应产品的质量要求： </w:t>
      </w:r>
    </w:p>
    <w:p>
      <w:pPr>
        <w:spacing w:line="360" w:lineRule="auto"/>
        <w:ind w:firstLine="484" w:firstLineChars="202"/>
        <w:rPr>
          <w:rFonts w:ascii="宋体" w:cs="宋体"/>
          <w:szCs w:val="24"/>
        </w:rPr>
      </w:pPr>
      <w:r>
        <w:rPr>
          <w:rFonts w:hint="eastAsia" w:ascii="宋体" w:cs="宋体"/>
          <w:szCs w:val="24"/>
        </w:rPr>
        <w:t>①油类食品：必须符合食品卫生要求及国家有关标准，如无标准，按行业规范，不得有腐烂、变质、油脂酸败、霉变、生虫、污秽不结、混有异物或者其他感官性状异常，并可能对人体健康有害的物质。</w:t>
      </w:r>
    </w:p>
    <w:p>
      <w:pPr>
        <w:spacing w:line="360" w:lineRule="auto"/>
        <w:ind w:firstLine="484" w:firstLineChars="202"/>
        <w:rPr>
          <w:rFonts w:ascii="宋体" w:cs="宋体"/>
          <w:szCs w:val="24"/>
        </w:rPr>
      </w:pPr>
      <w:r>
        <w:rPr>
          <w:rFonts w:hint="eastAsia" w:ascii="宋体" w:cs="宋体"/>
          <w:szCs w:val="24"/>
        </w:rPr>
        <w:t>②散装豆类：必须要符合卫生要求及国家有关标准，如无标准，按行业规范，不得有掺假、变质、变味、过期等现象出现，严禁伪劣、假冒、无证不合格物品进入仓库。</w:t>
      </w:r>
    </w:p>
    <w:p>
      <w:pPr>
        <w:spacing w:line="360" w:lineRule="auto"/>
        <w:ind w:firstLine="484" w:firstLineChars="202"/>
        <w:rPr>
          <w:rFonts w:ascii="宋体" w:cs="宋体"/>
          <w:szCs w:val="24"/>
        </w:rPr>
      </w:pPr>
      <w:r>
        <w:rPr>
          <w:rFonts w:hint="eastAsia" w:ascii="宋体" w:cs="宋体"/>
          <w:szCs w:val="24"/>
        </w:rPr>
        <w:t>③中标人在供应过程中，如果发生出现质量问题或造成食物中毒，如变质等情况，经查实后确属中标人责任，中标人应承担全部责任和经济赔偿，主要包括食物中毒人员医疗费、误工费、事故处理费等，直至追究刑事责任。</w:t>
      </w:r>
    </w:p>
    <w:p>
      <w:pPr>
        <w:spacing w:line="360" w:lineRule="auto"/>
        <w:ind w:firstLine="484" w:firstLineChars="202"/>
        <w:rPr>
          <w:rFonts w:ascii="宋体" w:cs="宋体"/>
          <w:szCs w:val="24"/>
        </w:rPr>
      </w:pPr>
      <w:r>
        <w:rPr>
          <w:rFonts w:hint="eastAsia" w:ascii="宋体" w:cs="宋体"/>
          <w:szCs w:val="24"/>
        </w:rPr>
        <w:t>2、食品应清洁，并符合企业相关验收标准；食品到达目的地时外包装完整，无损伤、腐烂现象，无寄生虫或已受虫害现象；对温度有要求的食品应确定食品的温度与包装上指示温度一致。</w:t>
      </w:r>
    </w:p>
    <w:p>
      <w:pPr>
        <w:spacing w:line="360" w:lineRule="auto"/>
        <w:ind w:firstLine="484" w:firstLineChars="202"/>
        <w:rPr>
          <w:rFonts w:ascii="宋体" w:cs="宋体"/>
          <w:szCs w:val="24"/>
        </w:rPr>
      </w:pPr>
      <w:r>
        <w:rPr>
          <w:rFonts w:hint="eastAsia" w:ascii="宋体" w:cs="宋体"/>
          <w:szCs w:val="24"/>
        </w:rPr>
        <w:t>3、对食品检查如下：</w:t>
      </w:r>
    </w:p>
    <w:p>
      <w:pPr>
        <w:spacing w:line="360" w:lineRule="auto"/>
        <w:ind w:firstLine="484" w:firstLineChars="202"/>
        <w:rPr>
          <w:rFonts w:ascii="宋体" w:cs="宋体"/>
          <w:szCs w:val="24"/>
        </w:rPr>
      </w:pPr>
      <w:r>
        <w:rPr>
          <w:rFonts w:hint="eastAsia" w:ascii="宋体" w:cs="宋体"/>
          <w:szCs w:val="24"/>
        </w:rPr>
        <w:t>①采购的食品必须符合食品卫生要求及国家有关标准，如无标准，按行业规范。采购生产、经营证明文件齐备，明确食品来源，并具有检验合格证明。严禁采购有害、有毒、腐烂变质、酸败、霉变、生虫、污垢不洁、混有异物或其他感官性状异常的食品。禁止采购超过保质期限的食品。</w:t>
      </w:r>
    </w:p>
    <w:p>
      <w:pPr>
        <w:spacing w:line="360" w:lineRule="auto"/>
        <w:ind w:firstLine="484" w:firstLineChars="202"/>
        <w:rPr>
          <w:rFonts w:ascii="宋体" w:cs="宋体"/>
          <w:szCs w:val="24"/>
        </w:rPr>
      </w:pPr>
      <w:r>
        <w:rPr>
          <w:rFonts w:hint="eastAsia" w:ascii="宋体" w:cs="宋体"/>
          <w:szCs w:val="24"/>
        </w:rPr>
        <w:t>②食品包装必须符合国家规范。采购的食品不得存放在有害、有毒的容器内。预包装食品的包装上应注明《中华人民共和国食品安全法》第六十七条所规定的事项。配送时提供生产厂家营业执照、食品生产许可证、国家机关发出的产品检验合格证书等证明文件复印件。</w:t>
      </w:r>
    </w:p>
    <w:p>
      <w:pPr>
        <w:spacing w:line="360" w:lineRule="auto"/>
        <w:ind w:firstLine="484" w:firstLineChars="202"/>
        <w:rPr>
          <w:rFonts w:ascii="宋体" w:cs="宋体"/>
          <w:szCs w:val="24"/>
        </w:rPr>
      </w:pPr>
      <w:r>
        <w:rPr>
          <w:rFonts w:hint="eastAsia" w:ascii="宋体" w:cs="宋体"/>
          <w:szCs w:val="24"/>
        </w:rPr>
        <w:t>③对不符合采购要求的食品由验收人员提出清退，退货前应实行留板备案，如双方对质量争议可送国家质监部门检测。</w:t>
      </w:r>
    </w:p>
    <w:p>
      <w:pPr>
        <w:spacing w:line="360" w:lineRule="auto"/>
        <w:ind w:left="420"/>
        <w:rPr>
          <w:rFonts w:ascii="宋体" w:cs="宋体"/>
          <w:b/>
          <w:szCs w:val="24"/>
        </w:rPr>
      </w:pPr>
      <w:r>
        <w:rPr>
          <w:rFonts w:hint="eastAsia" w:ascii="宋体" w:cs="宋体"/>
          <w:b/>
          <w:szCs w:val="24"/>
        </w:rPr>
        <w:t>（三）调味品类包装食品</w:t>
      </w:r>
    </w:p>
    <w:p>
      <w:pPr>
        <w:spacing w:line="360" w:lineRule="auto"/>
        <w:ind w:firstLine="484" w:firstLineChars="202"/>
        <w:rPr>
          <w:rFonts w:ascii="宋体" w:cs="宋体"/>
          <w:szCs w:val="24"/>
        </w:rPr>
      </w:pPr>
      <w:r>
        <w:rPr>
          <w:rFonts w:hint="eastAsia" w:ascii="宋体" w:cs="宋体"/>
          <w:szCs w:val="24"/>
        </w:rPr>
        <w:t>1、食品应清洁，并符合企业相关验收标准；食品到达目的地时外包装完整，无损伤、腐烂现象，无寄生虫或已受虫害现象；对温度有要求的食品应确定食品的温度与包装上指示温度一致。</w:t>
      </w:r>
    </w:p>
    <w:p>
      <w:pPr>
        <w:spacing w:line="360" w:lineRule="auto"/>
        <w:ind w:firstLine="484" w:firstLineChars="202"/>
        <w:rPr>
          <w:rFonts w:ascii="宋体" w:cs="宋体"/>
          <w:szCs w:val="24"/>
        </w:rPr>
      </w:pPr>
      <w:r>
        <w:rPr>
          <w:rFonts w:hint="eastAsia" w:ascii="宋体" w:cs="宋体"/>
          <w:szCs w:val="24"/>
        </w:rPr>
        <w:t>2、对食品检查如下：</w:t>
      </w:r>
    </w:p>
    <w:p>
      <w:pPr>
        <w:spacing w:line="360" w:lineRule="auto"/>
        <w:ind w:firstLine="484" w:firstLineChars="202"/>
        <w:rPr>
          <w:rFonts w:ascii="宋体" w:cs="宋体"/>
          <w:szCs w:val="24"/>
        </w:rPr>
      </w:pPr>
      <w:r>
        <w:rPr>
          <w:rFonts w:hint="eastAsia" w:ascii="宋体" w:cs="宋体"/>
          <w:szCs w:val="24"/>
        </w:rPr>
        <w:t>①采购的食品必须符合食品卫生要求及国家有关标准，如无标准，按行业规范。采购生产、经营证明文件齐备，明确食品来源，并具有检验合格证明。严禁采购有害、有毒、腐烂变质、酸败、霉变、生虫、污垢不洁、混有异物或其他感官性状异常的食品。禁止采购超过保质期限的食品。</w:t>
      </w:r>
    </w:p>
    <w:p>
      <w:pPr>
        <w:spacing w:line="360" w:lineRule="auto"/>
        <w:ind w:firstLine="484" w:firstLineChars="202"/>
        <w:rPr>
          <w:rFonts w:ascii="宋体" w:cs="宋体"/>
          <w:szCs w:val="24"/>
        </w:rPr>
      </w:pPr>
      <w:r>
        <w:rPr>
          <w:rFonts w:hint="eastAsia" w:ascii="宋体" w:cs="宋体"/>
          <w:szCs w:val="24"/>
        </w:rPr>
        <w:t>②食品包装必须符合国家规范。采购的食品不得存放在有害、有毒的容器内。预包装食品的包装上应注明《中华人民共和国食品安全法》第六十七条所规定的事项。</w:t>
      </w:r>
    </w:p>
    <w:p>
      <w:pPr>
        <w:spacing w:line="360" w:lineRule="auto"/>
        <w:ind w:firstLine="484" w:firstLineChars="202"/>
        <w:rPr>
          <w:rFonts w:ascii="宋体" w:cs="宋体"/>
          <w:szCs w:val="24"/>
        </w:rPr>
      </w:pPr>
      <w:r>
        <w:rPr>
          <w:rFonts w:hint="eastAsia" w:ascii="宋体" w:cs="宋体"/>
          <w:szCs w:val="24"/>
        </w:rPr>
        <w:t>③对不符合采购要求的食品由验收人员提出清退，退货前应实行留板备案，如双方对质量争议可送国家质监部门检测。</w:t>
      </w:r>
    </w:p>
    <w:p>
      <w:pPr>
        <w:spacing w:line="360" w:lineRule="auto"/>
        <w:ind w:firstLine="487" w:firstLineChars="202"/>
        <w:rPr>
          <w:rFonts w:ascii="宋体" w:cs="宋体"/>
          <w:b/>
          <w:szCs w:val="24"/>
        </w:rPr>
      </w:pPr>
      <w:r>
        <w:rPr>
          <w:rFonts w:hint="eastAsia" w:ascii="宋体" w:cs="宋体"/>
          <w:b/>
          <w:szCs w:val="24"/>
        </w:rPr>
        <w:t>（四）干货类包装食品</w:t>
      </w:r>
    </w:p>
    <w:p>
      <w:pPr>
        <w:spacing w:line="360" w:lineRule="auto"/>
        <w:ind w:firstLine="484" w:firstLineChars="202"/>
        <w:rPr>
          <w:rFonts w:ascii="宋体" w:cs="宋体"/>
          <w:szCs w:val="24"/>
        </w:rPr>
      </w:pPr>
      <w:r>
        <w:rPr>
          <w:rFonts w:hint="eastAsia" w:ascii="宋体" w:cs="宋体"/>
          <w:szCs w:val="24"/>
        </w:rPr>
        <w:t xml:space="preserve">1、供应产品的质量要求： </w:t>
      </w:r>
    </w:p>
    <w:p>
      <w:pPr>
        <w:spacing w:line="360" w:lineRule="auto"/>
        <w:ind w:firstLine="484" w:firstLineChars="202"/>
        <w:rPr>
          <w:rFonts w:ascii="宋体" w:cs="宋体"/>
          <w:szCs w:val="24"/>
        </w:rPr>
      </w:pPr>
      <w:r>
        <w:rPr>
          <w:rFonts w:hint="eastAsia" w:ascii="宋体" w:cs="宋体"/>
          <w:szCs w:val="24"/>
        </w:rPr>
        <w:t>①食品必须符合卫生，不得有腐烂、变质、油脂酸败、霉变、生虫、污秽不结、混有异物或者其他感官性状异常，并可能对人体健康有害的物质。散装粉、面需提供生产厂家营业执照、</w:t>
      </w:r>
      <w:r>
        <w:rPr>
          <w:rFonts w:hint="eastAsia" w:ascii="宋体" w:cs="宋体"/>
          <w:color w:val="333333"/>
          <w:szCs w:val="24"/>
          <w:shd w:val="clear" w:color="auto" w:fill="FFFFFF"/>
        </w:rPr>
        <w:t>食品生产许可</w:t>
      </w:r>
      <w:r>
        <w:rPr>
          <w:rFonts w:hint="eastAsia" w:ascii="宋体" w:cs="宋体"/>
          <w:szCs w:val="24"/>
        </w:rPr>
        <w:t>证、国家机关发出的产品检验合格证书。</w:t>
      </w:r>
    </w:p>
    <w:p>
      <w:pPr>
        <w:spacing w:line="360" w:lineRule="auto"/>
        <w:ind w:firstLine="484" w:firstLineChars="202"/>
        <w:rPr>
          <w:rFonts w:ascii="宋体" w:cs="宋体"/>
          <w:szCs w:val="24"/>
        </w:rPr>
      </w:pPr>
      <w:r>
        <w:rPr>
          <w:rFonts w:hint="eastAsia" w:ascii="宋体" w:cs="宋体"/>
          <w:szCs w:val="24"/>
        </w:rPr>
        <w:t>②要提供SC食品生产认证、国家机关发出的产品检验合格证书。包装食品：包装箱完整，同时包装箱要印有注册商标、生产厂家名称、厂址、出厂日期、产品合格证、保质期限、产品成分、厂家电话号码。配送时提供生产厂家营业执照、卫生许可证、国家机关发出的产品检验合格证书。中标人所提供产品质量必须要符合行业标准要求，不得有掺假、变质、变味、过期等现象出现，严禁伪劣、假冒、无证不合格物品进入仓库。</w:t>
      </w:r>
    </w:p>
    <w:p>
      <w:pPr>
        <w:spacing w:line="360" w:lineRule="auto"/>
        <w:ind w:firstLine="484" w:firstLineChars="202"/>
        <w:rPr>
          <w:rFonts w:ascii="宋体" w:cs="宋体"/>
          <w:szCs w:val="24"/>
        </w:rPr>
      </w:pPr>
      <w:r>
        <w:rPr>
          <w:rFonts w:hint="eastAsia" w:ascii="宋体" w:cs="宋体"/>
          <w:szCs w:val="24"/>
        </w:rPr>
        <w:t>③中标人在供应过程中，如果发生出现质量问题或造成食物中毒，如变质等情况，经查实后确属中标人责任，中标人应承担全部责任，主要包括食物中毒人员医疗费、误工费、事故处理费等，直至追究刑事责任。</w:t>
      </w:r>
    </w:p>
    <w:p>
      <w:pPr>
        <w:spacing w:line="360" w:lineRule="auto"/>
        <w:ind w:firstLine="487" w:firstLineChars="202"/>
        <w:rPr>
          <w:rFonts w:ascii="宋体" w:cs="宋体"/>
          <w:b/>
          <w:szCs w:val="24"/>
        </w:rPr>
      </w:pPr>
      <w:r>
        <w:rPr>
          <w:rFonts w:hint="eastAsia" w:ascii="宋体" w:cs="宋体"/>
          <w:b/>
          <w:szCs w:val="24"/>
        </w:rPr>
        <w:t>（五）水果类</w:t>
      </w:r>
    </w:p>
    <w:p>
      <w:pPr>
        <w:spacing w:line="360" w:lineRule="auto"/>
        <w:ind w:firstLine="484" w:firstLineChars="202"/>
        <w:rPr>
          <w:rFonts w:ascii="宋体" w:cs="宋体"/>
          <w:szCs w:val="24"/>
        </w:rPr>
      </w:pPr>
      <w:r>
        <w:rPr>
          <w:rFonts w:hint="eastAsia" w:ascii="宋体" w:cs="宋体"/>
          <w:szCs w:val="24"/>
        </w:rPr>
        <w:t>1、所采购的水果应符合国家相关标准，保证新鲜、无异味、无霉烂变质，外观干爽，明确食材来源，并具有检验合格证明。严禁采购有害、有毒、腐烂变质、酸败、霉变、生虫、污垢不洁、混有异物或其他感官性状异常的食材。</w:t>
      </w:r>
    </w:p>
    <w:p>
      <w:pPr>
        <w:spacing w:line="360" w:lineRule="auto"/>
        <w:ind w:firstLine="484" w:firstLineChars="202"/>
        <w:rPr>
          <w:rFonts w:ascii="宋体" w:cs="宋体"/>
          <w:szCs w:val="24"/>
        </w:rPr>
      </w:pPr>
      <w:r>
        <w:rPr>
          <w:rFonts w:hint="eastAsia" w:ascii="宋体" w:cs="宋体"/>
          <w:szCs w:val="24"/>
        </w:rPr>
        <w:t>2、食材包装必须符合国家规范。采购的食材不得存放在有害、有毒的容器内。</w:t>
      </w:r>
    </w:p>
    <w:p>
      <w:pPr>
        <w:spacing w:line="360" w:lineRule="auto"/>
        <w:ind w:firstLine="484" w:firstLineChars="202"/>
        <w:rPr>
          <w:rFonts w:ascii="宋体" w:cs="宋体"/>
          <w:szCs w:val="24"/>
        </w:rPr>
      </w:pPr>
      <w:r>
        <w:rPr>
          <w:rFonts w:hint="eastAsia" w:ascii="宋体" w:cs="宋体"/>
          <w:szCs w:val="24"/>
        </w:rPr>
        <w:t>3、对不符合采购要求的食品由验收人员提出清退，退货前应实行留板备案，如双方对质量争议可送国家质监部门检测。对缺斤短两的应按实际重量扣减。</w:t>
      </w:r>
    </w:p>
    <w:p>
      <w:pPr>
        <w:spacing w:line="360" w:lineRule="auto"/>
        <w:ind w:firstLine="484" w:firstLineChars="202"/>
        <w:rPr>
          <w:rFonts w:ascii="宋体" w:cs="宋体"/>
          <w:szCs w:val="24"/>
        </w:rPr>
      </w:pPr>
      <w:r>
        <w:rPr>
          <w:rFonts w:hint="eastAsia" w:ascii="宋体" w:cs="宋体"/>
          <w:szCs w:val="24"/>
        </w:rPr>
        <w:t>4、提供农残检测证明文件。</w:t>
      </w:r>
    </w:p>
    <w:p>
      <w:pPr>
        <w:spacing w:line="360" w:lineRule="auto"/>
        <w:rPr>
          <w:rFonts w:ascii="宋体" w:cs="宋体"/>
          <w:b/>
          <w:szCs w:val="24"/>
        </w:rPr>
      </w:pPr>
      <w:r>
        <w:rPr>
          <w:rFonts w:hint="eastAsia" w:ascii="宋体" w:cs="宋体"/>
          <w:b/>
          <w:szCs w:val="24"/>
        </w:rPr>
        <w:t xml:space="preserve">     （六）奶制品类</w:t>
      </w:r>
    </w:p>
    <w:p>
      <w:pPr>
        <w:spacing w:line="360" w:lineRule="auto"/>
        <w:ind w:firstLine="484" w:firstLineChars="202"/>
        <w:rPr>
          <w:rFonts w:ascii="宋体" w:cs="宋体"/>
          <w:szCs w:val="24"/>
        </w:rPr>
      </w:pPr>
      <w:r>
        <w:rPr>
          <w:rFonts w:hint="eastAsia" w:ascii="宋体" w:cs="宋体"/>
          <w:szCs w:val="24"/>
        </w:rPr>
        <w:t>1、食品应清洁，并符合企业相关验收标准；食品到达目的地时外包装完整，表面无损伤，干净整洁。</w:t>
      </w:r>
    </w:p>
    <w:p>
      <w:pPr>
        <w:spacing w:line="360" w:lineRule="auto"/>
        <w:ind w:firstLine="484" w:firstLineChars="202"/>
        <w:rPr>
          <w:rFonts w:ascii="宋体" w:cs="宋体"/>
          <w:szCs w:val="24"/>
        </w:rPr>
      </w:pPr>
      <w:r>
        <w:rPr>
          <w:rFonts w:hint="eastAsia" w:ascii="宋体" w:cs="宋体"/>
          <w:szCs w:val="24"/>
        </w:rPr>
        <w:t>2、对食品检查如下：</w:t>
      </w:r>
    </w:p>
    <w:p>
      <w:pPr>
        <w:spacing w:line="360" w:lineRule="auto"/>
        <w:ind w:firstLine="484" w:firstLineChars="202"/>
        <w:rPr>
          <w:rFonts w:ascii="宋体" w:cs="宋体"/>
          <w:szCs w:val="24"/>
        </w:rPr>
      </w:pPr>
      <w:r>
        <w:rPr>
          <w:rFonts w:hint="eastAsia" w:ascii="宋体" w:cs="宋体"/>
          <w:szCs w:val="24"/>
        </w:rPr>
        <w:t>①采购的食品必须符合食品卫生要求及国家有关标准，如无标准，按行业规范。采购生产、经营证明文件齐备，明确食品来源，并具有检验合格证明。严禁采购有害、有毒、腐烂变质、酸败、霉变、生虫、污垢不洁、混有异物或其他感官性状异常的食品。</w:t>
      </w:r>
    </w:p>
    <w:p>
      <w:pPr>
        <w:spacing w:line="360" w:lineRule="auto"/>
        <w:ind w:firstLine="484" w:firstLineChars="202"/>
        <w:rPr>
          <w:rFonts w:ascii="宋体" w:cs="宋体"/>
          <w:szCs w:val="24"/>
        </w:rPr>
      </w:pPr>
      <w:r>
        <w:rPr>
          <w:rFonts w:hint="eastAsia" w:ascii="宋体" w:cs="宋体"/>
          <w:szCs w:val="24"/>
        </w:rPr>
        <w:t>②食品包装必须符合国家规范。采购的食品不得存放在有害、有毒的容器内。</w:t>
      </w:r>
    </w:p>
    <w:p>
      <w:pPr>
        <w:spacing w:line="360" w:lineRule="auto"/>
        <w:ind w:firstLine="484" w:firstLineChars="202"/>
        <w:rPr>
          <w:rFonts w:ascii="宋体" w:cs="宋体"/>
          <w:szCs w:val="24"/>
        </w:rPr>
      </w:pPr>
      <w:r>
        <w:rPr>
          <w:rFonts w:hint="eastAsia" w:ascii="宋体" w:cs="宋体"/>
          <w:szCs w:val="24"/>
        </w:rPr>
        <w:t>③对不符合采购要求的食品由验收人员提出清退，退货前应实行留板备案，如双方对质量争议可送国家质监部门检测。对保质期较短的鲜奶类产品，要求来货当日不超过生产日期3天。</w:t>
      </w:r>
    </w:p>
    <w:p>
      <w:pPr>
        <w:tabs>
          <w:tab w:val="left" w:pos="525"/>
          <w:tab w:val="left" w:pos="846"/>
        </w:tabs>
        <w:autoSpaceDE w:val="0"/>
        <w:autoSpaceDN w:val="0"/>
        <w:adjustRightInd w:val="0"/>
        <w:spacing w:line="360" w:lineRule="auto"/>
        <w:ind w:left="420" w:hanging="420"/>
        <w:outlineLvl w:val="1"/>
        <w:rPr>
          <w:rFonts w:ascii="宋体" w:cs="宋体"/>
          <w:b/>
          <w:bCs/>
          <w:szCs w:val="24"/>
        </w:rPr>
      </w:pPr>
      <w:r>
        <w:rPr>
          <w:rFonts w:hint="eastAsia" w:ascii="宋体" w:cs="宋体"/>
          <w:b/>
          <w:bCs/>
          <w:szCs w:val="24"/>
        </w:rPr>
        <w:t>四、食材的配送</w:t>
      </w:r>
    </w:p>
    <w:p>
      <w:pPr>
        <w:spacing w:line="360" w:lineRule="auto"/>
        <w:ind w:firstLine="484" w:firstLineChars="202"/>
        <w:rPr>
          <w:rFonts w:ascii="宋体" w:cs="宋体"/>
          <w:szCs w:val="24"/>
        </w:rPr>
      </w:pPr>
      <w:r>
        <w:rPr>
          <w:rFonts w:hint="eastAsia" w:ascii="宋体" w:cs="宋体"/>
          <w:szCs w:val="24"/>
        </w:rPr>
        <w:t>1、食材运输必须采用符合卫生标准的外包装和运载工具，并且要保持清洁和定期消毒。运输车厢的内仓，包括地面、墙面和顶，应使用抗腐蚀、防潮，易清洁消毒的材料。车厢内无不良气味、异味。</w:t>
      </w:r>
    </w:p>
    <w:p>
      <w:pPr>
        <w:spacing w:line="360" w:lineRule="auto"/>
        <w:ind w:firstLine="484" w:firstLineChars="202"/>
        <w:rPr>
          <w:rFonts w:ascii="宋体" w:cs="宋体"/>
          <w:szCs w:val="24"/>
        </w:rPr>
      </w:pPr>
      <w:r>
        <w:rPr>
          <w:rFonts w:hint="eastAsia" w:ascii="宋体" w:cs="宋体"/>
          <w:szCs w:val="24"/>
        </w:rPr>
        <w:t>2、中标人送货车辆应实行1小时内配送圈运作，食材到达目的地时外包装箱干净，无异物。送货车辆应保持清洁；食材堆放科学合理，避免造成食品的交叉污染；如对温度有要求的食材应确定食品的温度，记录送货车辆温度，并记录存档。</w:t>
      </w:r>
    </w:p>
    <w:p>
      <w:pPr>
        <w:spacing w:line="360" w:lineRule="auto"/>
        <w:ind w:firstLine="484" w:firstLineChars="202"/>
        <w:rPr>
          <w:rFonts w:ascii="宋体" w:cs="宋体"/>
          <w:szCs w:val="24"/>
        </w:rPr>
      </w:pPr>
      <w:r>
        <w:rPr>
          <w:rFonts w:hint="eastAsia" w:ascii="宋体" w:cs="宋体"/>
          <w:szCs w:val="24"/>
        </w:rPr>
        <w:t>3、投标人需具备自有或租赁冷链运输车。</w:t>
      </w:r>
    </w:p>
    <w:p>
      <w:pPr>
        <w:spacing w:line="360" w:lineRule="auto"/>
        <w:ind w:firstLine="484" w:firstLineChars="202"/>
        <w:rPr>
          <w:rFonts w:ascii="宋体" w:cs="宋体"/>
          <w:szCs w:val="24"/>
        </w:rPr>
      </w:pPr>
      <w:r>
        <w:rPr>
          <w:rFonts w:hint="eastAsia" w:ascii="宋体" w:cs="宋体"/>
          <w:szCs w:val="24"/>
        </w:rPr>
        <w:t>4、中标人将食材运达交货地点后，采购人负责清点接货，如因运输过程中发生短少事件，由中标人负责处理。</w:t>
      </w:r>
    </w:p>
    <w:p>
      <w:pPr>
        <w:tabs>
          <w:tab w:val="left" w:pos="525"/>
          <w:tab w:val="left" w:pos="846"/>
        </w:tabs>
        <w:spacing w:line="360" w:lineRule="auto"/>
        <w:ind w:firstLine="484" w:firstLineChars="202"/>
        <w:rPr>
          <w:rFonts w:ascii="宋体" w:cs="宋体"/>
          <w:b/>
          <w:bCs/>
          <w:szCs w:val="24"/>
        </w:rPr>
      </w:pPr>
      <w:r>
        <w:rPr>
          <w:rFonts w:hint="eastAsia" w:ascii="宋体" w:cs="宋体"/>
          <w:szCs w:val="24"/>
        </w:rPr>
        <w:t>5、中标人将食材运达交货地点后，采购人应立即派人员进行数量过磅或清点，按国家有关标准计算。</w:t>
      </w:r>
    </w:p>
    <w:p>
      <w:pPr>
        <w:tabs>
          <w:tab w:val="left" w:pos="525"/>
          <w:tab w:val="left" w:pos="846"/>
        </w:tabs>
        <w:autoSpaceDE w:val="0"/>
        <w:autoSpaceDN w:val="0"/>
        <w:adjustRightInd w:val="0"/>
        <w:spacing w:line="360" w:lineRule="auto"/>
        <w:ind w:left="420" w:hanging="420"/>
        <w:outlineLvl w:val="1"/>
        <w:rPr>
          <w:rFonts w:ascii="宋体" w:cs="宋体"/>
          <w:b/>
          <w:bCs/>
          <w:szCs w:val="24"/>
        </w:rPr>
      </w:pPr>
      <w:r>
        <w:rPr>
          <w:rFonts w:hint="eastAsia" w:ascii="宋体" w:cs="宋体"/>
          <w:b/>
          <w:bCs/>
          <w:szCs w:val="24"/>
        </w:rPr>
        <w:t>五、交货期、交货地点</w:t>
      </w:r>
    </w:p>
    <w:p>
      <w:pPr>
        <w:spacing w:line="360" w:lineRule="auto"/>
        <w:ind w:firstLine="484" w:firstLineChars="202"/>
        <w:rPr>
          <w:rFonts w:ascii="宋体" w:cs="宋体"/>
          <w:szCs w:val="24"/>
        </w:rPr>
      </w:pPr>
      <w:r>
        <w:rPr>
          <w:rFonts w:hint="eastAsia" w:ascii="宋体" w:cs="宋体"/>
          <w:szCs w:val="24"/>
        </w:rPr>
        <w:t>1、中标人负责将所有食品配送到采购人指定的地点，食材经采购人当场验收质量和数量后，将订货单一并交于当日采购人指定的收货人员，由采购人主管人员、相关负责人员签名确认后，将作为有效结算单据。</w:t>
      </w:r>
    </w:p>
    <w:p>
      <w:pPr>
        <w:spacing w:line="360" w:lineRule="auto"/>
        <w:ind w:firstLine="484" w:firstLineChars="202"/>
        <w:rPr>
          <w:rFonts w:ascii="宋体" w:cs="宋体"/>
          <w:szCs w:val="24"/>
        </w:rPr>
      </w:pPr>
      <w:r>
        <w:rPr>
          <w:rFonts w:hint="eastAsia" w:ascii="宋体" w:cs="宋体"/>
          <w:szCs w:val="24"/>
        </w:rPr>
        <w:t>2、中标人不负担采购人内部分发及内部分发配送过程所造成的食材损伤、损耗及其它人为造成的问题。</w:t>
      </w:r>
    </w:p>
    <w:p>
      <w:pPr>
        <w:spacing w:line="360" w:lineRule="auto"/>
        <w:ind w:firstLine="484" w:firstLineChars="202"/>
        <w:rPr>
          <w:rFonts w:ascii="宋体" w:cs="宋体"/>
          <w:szCs w:val="24"/>
        </w:rPr>
      </w:pPr>
      <w:r>
        <w:rPr>
          <w:rFonts w:hint="eastAsia" w:ascii="宋体" w:cs="宋体"/>
          <w:szCs w:val="24"/>
        </w:rPr>
        <w:t>3、中标人必须按采购人订单规定的交货时间、地点，准确交货。</w:t>
      </w:r>
    </w:p>
    <w:p>
      <w:pPr>
        <w:spacing w:line="360" w:lineRule="auto"/>
        <w:ind w:firstLine="484" w:firstLineChars="202"/>
        <w:rPr>
          <w:rFonts w:ascii="宋体" w:cs="宋体"/>
          <w:szCs w:val="24"/>
        </w:rPr>
      </w:pPr>
      <w:r>
        <w:rPr>
          <w:rFonts w:hint="eastAsia" w:ascii="宋体" w:cs="宋体"/>
          <w:szCs w:val="24"/>
        </w:rPr>
        <w:t>4、如需分批交货，中标人也应按照订单所注明的时间送货。</w:t>
      </w:r>
    </w:p>
    <w:p>
      <w:pPr>
        <w:tabs>
          <w:tab w:val="left" w:pos="525"/>
          <w:tab w:val="left" w:pos="846"/>
        </w:tabs>
        <w:autoSpaceDE w:val="0"/>
        <w:autoSpaceDN w:val="0"/>
        <w:adjustRightInd w:val="0"/>
        <w:spacing w:line="360" w:lineRule="auto"/>
        <w:ind w:left="420" w:hanging="420"/>
        <w:outlineLvl w:val="1"/>
        <w:rPr>
          <w:rFonts w:ascii="宋体" w:cs="宋体"/>
          <w:b/>
          <w:bCs/>
          <w:szCs w:val="24"/>
        </w:rPr>
      </w:pPr>
      <w:r>
        <w:rPr>
          <w:rFonts w:hint="eastAsia" w:ascii="宋体" w:cs="宋体"/>
          <w:b/>
          <w:bCs/>
          <w:szCs w:val="24"/>
        </w:rPr>
        <w:t>六、食材质量的基本检查</w:t>
      </w:r>
    </w:p>
    <w:p>
      <w:pPr>
        <w:spacing w:line="360" w:lineRule="auto"/>
        <w:ind w:firstLine="484" w:firstLineChars="202"/>
        <w:rPr>
          <w:rFonts w:ascii="宋体" w:cs="宋体"/>
          <w:szCs w:val="24"/>
        </w:rPr>
      </w:pPr>
      <w:r>
        <w:rPr>
          <w:rFonts w:hint="eastAsia" w:ascii="宋体" w:cs="宋体"/>
          <w:szCs w:val="24"/>
        </w:rPr>
        <w:t>1、食材应清洁，并符合企业相关验收标准；食材到达目的地时外包装完整，无损伤、腐烂现象，无寄生虫或已受虫害现象；对温度有要求的食品应确定食材的温度与包装上指示温度一致。</w:t>
      </w:r>
    </w:p>
    <w:p>
      <w:pPr>
        <w:spacing w:line="360" w:lineRule="auto"/>
        <w:ind w:firstLine="484" w:firstLineChars="202"/>
        <w:rPr>
          <w:rFonts w:ascii="宋体" w:cs="宋体"/>
          <w:szCs w:val="24"/>
        </w:rPr>
      </w:pPr>
      <w:r>
        <w:rPr>
          <w:rFonts w:hint="eastAsia" w:ascii="宋体" w:cs="宋体"/>
          <w:szCs w:val="24"/>
        </w:rPr>
        <w:t>2、对食材检查如下：</w:t>
      </w:r>
    </w:p>
    <w:p>
      <w:pPr>
        <w:spacing w:line="360" w:lineRule="auto"/>
        <w:ind w:firstLine="484" w:firstLineChars="202"/>
        <w:rPr>
          <w:rFonts w:ascii="宋体" w:cs="宋体"/>
          <w:szCs w:val="24"/>
        </w:rPr>
      </w:pPr>
      <w:r>
        <w:rPr>
          <w:rFonts w:hint="eastAsia" w:ascii="宋体" w:cs="宋体"/>
          <w:szCs w:val="24"/>
        </w:rPr>
        <w:t>①采购的食材必须符合食品卫生要求及国家有关标准，如无标准，按行业规范。采购生产、经营证明文件齐备，明确食材来源，并具有检验合格证明。严禁采购有害、有毒、腐烂变质、酸败、霉变、生虫、污垢不洁、混有异物或其他感官性状异常的食材。</w:t>
      </w:r>
    </w:p>
    <w:p>
      <w:pPr>
        <w:spacing w:line="360" w:lineRule="auto"/>
        <w:ind w:firstLine="484" w:firstLineChars="202"/>
        <w:rPr>
          <w:rFonts w:ascii="宋体" w:cs="宋体"/>
          <w:szCs w:val="24"/>
        </w:rPr>
      </w:pPr>
      <w:r>
        <w:rPr>
          <w:rFonts w:hint="eastAsia" w:ascii="宋体" w:cs="宋体"/>
          <w:szCs w:val="24"/>
        </w:rPr>
        <w:t>②食材包装必须符合国家规范。采购的食材不得存放在有害、有毒的容器内。食品包装上必须使用原产地标识，应注明：制造商名称和厂址、食品名称和重（容）量、生产日期和保质期限以及规格和SC食品生产认证等。</w:t>
      </w:r>
    </w:p>
    <w:p>
      <w:pPr>
        <w:spacing w:line="360" w:lineRule="auto"/>
        <w:ind w:firstLine="484" w:firstLineChars="202"/>
        <w:rPr>
          <w:rFonts w:ascii="宋体" w:cs="宋体"/>
          <w:szCs w:val="24"/>
        </w:rPr>
      </w:pPr>
      <w:r>
        <w:rPr>
          <w:rFonts w:hint="eastAsia" w:ascii="宋体" w:cs="宋体"/>
          <w:szCs w:val="24"/>
        </w:rPr>
        <w:t>③对不符合采购要求的食材由验收人员提出清退，退货前应实行留板备案，如双方对质量争议可送国家质监部门检测。对缺斤短两（或含水量超标）的应按实际重量扣减。</w:t>
      </w:r>
    </w:p>
    <w:p>
      <w:pPr>
        <w:tabs>
          <w:tab w:val="left" w:pos="525"/>
          <w:tab w:val="left" w:pos="846"/>
        </w:tabs>
        <w:autoSpaceDE w:val="0"/>
        <w:autoSpaceDN w:val="0"/>
        <w:adjustRightInd w:val="0"/>
        <w:spacing w:line="360" w:lineRule="auto"/>
        <w:ind w:left="420" w:hanging="420"/>
        <w:outlineLvl w:val="1"/>
        <w:rPr>
          <w:rFonts w:ascii="宋体" w:cs="宋体"/>
          <w:b/>
          <w:bCs/>
          <w:szCs w:val="24"/>
        </w:rPr>
      </w:pPr>
      <w:r>
        <w:rPr>
          <w:rFonts w:hint="eastAsia" w:ascii="宋体" w:cs="宋体"/>
          <w:b/>
          <w:bCs/>
          <w:szCs w:val="24"/>
        </w:rPr>
        <w:t>七、送货及验收方式</w:t>
      </w:r>
    </w:p>
    <w:p>
      <w:pPr>
        <w:spacing w:line="360" w:lineRule="auto"/>
        <w:ind w:firstLine="484" w:firstLineChars="202"/>
        <w:rPr>
          <w:rFonts w:ascii="宋体" w:cs="宋体"/>
          <w:szCs w:val="24"/>
        </w:rPr>
      </w:pPr>
      <w:r>
        <w:rPr>
          <w:rFonts w:hint="eastAsia" w:ascii="宋体" w:cs="宋体"/>
          <w:szCs w:val="24"/>
        </w:rPr>
        <w:t>1、检验流程</w:t>
      </w:r>
    </w:p>
    <w:p>
      <w:pPr>
        <w:spacing w:line="360" w:lineRule="auto"/>
        <w:ind w:firstLine="484" w:firstLineChars="202"/>
        <w:rPr>
          <w:rFonts w:ascii="宋体" w:cs="宋体"/>
          <w:szCs w:val="24"/>
        </w:rPr>
      </w:pPr>
      <w:r>
        <w:rPr>
          <w:rFonts w:hint="eastAsia" w:ascii="宋体" w:cs="宋体"/>
          <w:szCs w:val="24"/>
        </w:rPr>
        <w:fldChar w:fldCharType="begin"/>
      </w:r>
      <w:r>
        <w:rPr>
          <w:rFonts w:hint="eastAsia" w:ascii="宋体" w:cs="宋体"/>
          <w:szCs w:val="24"/>
        </w:rPr>
        <w:instrText xml:space="preserve"> = 1 \* GB3 \* MERGEFORMAT </w:instrText>
      </w:r>
      <w:r>
        <w:rPr>
          <w:rFonts w:hint="eastAsia" w:ascii="宋体" w:cs="宋体"/>
          <w:szCs w:val="24"/>
        </w:rPr>
        <w:fldChar w:fldCharType="separate"/>
      </w:r>
      <w:r>
        <w:rPr>
          <w:rFonts w:hint="eastAsia" w:ascii="宋体"/>
        </w:rPr>
        <w:t>①</w:t>
      </w:r>
      <w:r>
        <w:rPr>
          <w:rFonts w:hint="eastAsia" w:ascii="宋体" w:cs="宋体"/>
          <w:szCs w:val="24"/>
        </w:rPr>
        <w:fldChar w:fldCharType="end"/>
      </w:r>
      <w:r>
        <w:rPr>
          <w:rFonts w:hint="eastAsia" w:ascii="宋体" w:cs="宋体"/>
          <w:szCs w:val="24"/>
        </w:rPr>
        <w:t>应做好卸货前的检查。双方验收人员卸货前应对场地和验收设备做好准备，并对食材的外观质量进行初步了解；</w:t>
      </w:r>
    </w:p>
    <w:p>
      <w:pPr>
        <w:spacing w:line="360" w:lineRule="auto"/>
        <w:ind w:firstLine="484" w:firstLineChars="202"/>
        <w:rPr>
          <w:rFonts w:ascii="宋体" w:cs="宋体"/>
          <w:szCs w:val="24"/>
        </w:rPr>
      </w:pPr>
      <w:r>
        <w:rPr>
          <w:rFonts w:hint="eastAsia" w:ascii="宋体" w:cs="宋体"/>
          <w:szCs w:val="24"/>
        </w:rPr>
        <w:fldChar w:fldCharType="begin"/>
      </w:r>
      <w:r>
        <w:rPr>
          <w:rFonts w:hint="eastAsia" w:ascii="宋体" w:cs="宋体"/>
          <w:szCs w:val="24"/>
        </w:rPr>
        <w:instrText xml:space="preserve"> = 2 \* GB3 \* MERGEFORMAT </w:instrText>
      </w:r>
      <w:r>
        <w:rPr>
          <w:rFonts w:hint="eastAsia" w:ascii="宋体" w:cs="宋体"/>
          <w:szCs w:val="24"/>
        </w:rPr>
        <w:fldChar w:fldCharType="separate"/>
      </w:r>
      <w:r>
        <w:rPr>
          <w:rFonts w:hint="eastAsia" w:ascii="宋体"/>
        </w:rPr>
        <w:t>②</w:t>
      </w:r>
      <w:r>
        <w:rPr>
          <w:rFonts w:hint="eastAsia" w:ascii="宋体" w:cs="宋体"/>
          <w:szCs w:val="24"/>
        </w:rPr>
        <w:fldChar w:fldCharType="end"/>
      </w:r>
      <w:r>
        <w:rPr>
          <w:rFonts w:hint="eastAsia" w:ascii="宋体" w:cs="宋体"/>
          <w:szCs w:val="24"/>
        </w:rPr>
        <w:t>应采取当场验收的方式。双方验收人员必须认真检验食材的质量要求，按索证→过磅→入库的程序完成验收；</w:t>
      </w:r>
    </w:p>
    <w:p>
      <w:pPr>
        <w:spacing w:line="360" w:lineRule="auto"/>
        <w:ind w:firstLine="484" w:firstLineChars="202"/>
        <w:rPr>
          <w:rFonts w:ascii="宋体" w:cs="宋体"/>
          <w:szCs w:val="24"/>
        </w:rPr>
      </w:pPr>
      <w:r>
        <w:rPr>
          <w:rFonts w:hint="eastAsia" w:ascii="宋体" w:cs="宋体"/>
          <w:szCs w:val="24"/>
        </w:rPr>
        <w:fldChar w:fldCharType="begin"/>
      </w:r>
      <w:r>
        <w:rPr>
          <w:rFonts w:hint="eastAsia" w:ascii="宋体" w:cs="宋体"/>
          <w:szCs w:val="24"/>
        </w:rPr>
        <w:instrText xml:space="preserve"> = 3 \* GB3 \* MERGEFORMAT </w:instrText>
      </w:r>
      <w:r>
        <w:rPr>
          <w:rFonts w:hint="eastAsia" w:ascii="宋体" w:cs="宋体"/>
          <w:szCs w:val="24"/>
        </w:rPr>
        <w:fldChar w:fldCharType="separate"/>
      </w:r>
      <w:r>
        <w:rPr>
          <w:rFonts w:hint="eastAsia" w:ascii="宋体"/>
        </w:rPr>
        <w:t>③</w:t>
      </w:r>
      <w:r>
        <w:rPr>
          <w:rFonts w:hint="eastAsia" w:ascii="宋体" w:cs="宋体"/>
          <w:szCs w:val="24"/>
        </w:rPr>
        <w:fldChar w:fldCharType="end"/>
      </w:r>
      <w:r>
        <w:rPr>
          <w:rFonts w:hint="eastAsia" w:ascii="宋体" w:cs="宋体"/>
          <w:szCs w:val="24"/>
        </w:rPr>
        <w:t>必须进行抽查验收。抽查样本数视实际情况而定，一般不超过当批食材的10%。</w:t>
      </w:r>
    </w:p>
    <w:p>
      <w:pPr>
        <w:spacing w:line="360" w:lineRule="auto"/>
        <w:ind w:firstLine="484" w:firstLineChars="202"/>
        <w:rPr>
          <w:rFonts w:ascii="宋体" w:cs="宋体"/>
          <w:szCs w:val="24"/>
        </w:rPr>
      </w:pPr>
      <w:r>
        <w:rPr>
          <w:rFonts w:hint="eastAsia" w:ascii="宋体" w:cs="宋体"/>
          <w:szCs w:val="24"/>
        </w:rPr>
        <w:t>2、双方验收人员应核查核对文件，以确保食材品种符合要求。如确定有所差异，应即刻通知送货人员。如发现食材有损坏的情况，应在相关单据上记录所有损坏情况。建议对食材损坏情况进行拍照并存档。对于食材验收的全部信息数据，双方验收人员一起确认，并保留双方签字单据。</w:t>
      </w:r>
    </w:p>
    <w:p>
      <w:pPr>
        <w:spacing w:line="360" w:lineRule="auto"/>
        <w:ind w:firstLine="484" w:firstLineChars="202"/>
        <w:rPr>
          <w:rFonts w:ascii="宋体" w:cs="宋体"/>
          <w:szCs w:val="24"/>
        </w:rPr>
      </w:pPr>
      <w:r>
        <w:rPr>
          <w:rFonts w:hint="eastAsia" w:ascii="宋体" w:cs="宋体"/>
          <w:szCs w:val="24"/>
        </w:rPr>
        <w:t>3、退（补）货流程</w:t>
      </w:r>
    </w:p>
    <w:p>
      <w:pPr>
        <w:spacing w:line="360" w:lineRule="auto"/>
        <w:ind w:firstLine="484" w:firstLineChars="202"/>
        <w:rPr>
          <w:rFonts w:ascii="宋体" w:cs="宋体"/>
          <w:szCs w:val="24"/>
        </w:rPr>
      </w:pPr>
      <w:r>
        <w:rPr>
          <w:rFonts w:hint="eastAsia" w:ascii="宋体" w:cs="宋体"/>
          <w:szCs w:val="24"/>
        </w:rPr>
        <w:t>对不符合采购要求的食材由采购人提出清退，退货前应实行留样备案，如双方对质量争议可送国家质监部门检测。对缺斤短两（或含水量超标）的应按实际重量扣减。出现退（补）货情况，应及时报告。在退货过程中，对双方确认的有碍公共卫生安全的食材，应按国家有关规定处理或进行协议销毁，而不是退货给供应商。</w:t>
      </w:r>
    </w:p>
    <w:p>
      <w:pPr>
        <w:spacing w:line="360" w:lineRule="auto"/>
        <w:ind w:firstLine="484" w:firstLineChars="202"/>
        <w:rPr>
          <w:rFonts w:ascii="宋体" w:cs="宋体"/>
          <w:szCs w:val="24"/>
        </w:rPr>
      </w:pPr>
      <w:r>
        <w:rPr>
          <w:rFonts w:hint="eastAsia" w:ascii="宋体" w:cs="宋体"/>
          <w:szCs w:val="24"/>
        </w:rPr>
        <w:t>4、验收记录</w:t>
      </w:r>
    </w:p>
    <w:p>
      <w:pPr>
        <w:spacing w:line="360" w:lineRule="auto"/>
        <w:ind w:firstLine="484" w:firstLineChars="202"/>
        <w:rPr>
          <w:rFonts w:ascii="宋体" w:cs="宋体"/>
          <w:szCs w:val="24"/>
        </w:rPr>
      </w:pPr>
      <w:r>
        <w:rPr>
          <w:rFonts w:hint="eastAsia" w:ascii="宋体" w:cs="宋体"/>
          <w:szCs w:val="24"/>
        </w:rPr>
        <w:t>每次采购的食材都要登记记录，注明名称、数量等事项并在采购登记记录上签明意见和验收人的名字及日期。</w:t>
      </w:r>
    </w:p>
    <w:p>
      <w:pPr>
        <w:numPr>
          <w:ilvl w:val="0"/>
          <w:numId w:val="2"/>
        </w:numPr>
        <w:spacing w:line="360" w:lineRule="auto"/>
        <w:ind w:left="0" w:firstLine="484" w:firstLineChars="202"/>
        <w:rPr>
          <w:rFonts w:ascii="宋体" w:cs="宋体"/>
          <w:szCs w:val="24"/>
        </w:rPr>
      </w:pPr>
      <w:r>
        <w:rPr>
          <w:rFonts w:hint="eastAsia" w:ascii="宋体" w:cs="宋体"/>
          <w:szCs w:val="24"/>
        </w:rPr>
        <w:t>中标人应在与采购人确定的送时间送货，以便做好交收工作。如中标人未能按时交货的，采购人有权自行采购，并由中标人承担因此产生的一切损失和费用（包括直接经济损失和间接经济损失）。</w:t>
      </w:r>
    </w:p>
    <w:p>
      <w:pPr>
        <w:numPr>
          <w:ilvl w:val="0"/>
          <w:numId w:val="2"/>
        </w:numPr>
        <w:spacing w:line="360" w:lineRule="auto"/>
        <w:ind w:left="0" w:firstLine="484" w:firstLineChars="202"/>
        <w:rPr>
          <w:rFonts w:ascii="宋体" w:cs="宋体"/>
          <w:szCs w:val="24"/>
        </w:rPr>
      </w:pPr>
      <w:r>
        <w:rPr>
          <w:rFonts w:hint="eastAsia" w:ascii="宋体" w:cs="宋体"/>
          <w:szCs w:val="24"/>
        </w:rPr>
        <w:t xml:space="preserve">为保障食品安全可追溯，投标人能为本项目投入与本项目相关的农产品供应链溯源、采购人下单等管理系统。在项目实施过程中，做到食品原材料的供应链、质量等有据可查。 </w:t>
      </w:r>
    </w:p>
    <w:p>
      <w:pPr>
        <w:tabs>
          <w:tab w:val="left" w:pos="525"/>
          <w:tab w:val="left" w:pos="846"/>
        </w:tabs>
        <w:autoSpaceDE w:val="0"/>
        <w:autoSpaceDN w:val="0"/>
        <w:adjustRightInd w:val="0"/>
        <w:spacing w:line="360" w:lineRule="auto"/>
        <w:ind w:left="420" w:hanging="420"/>
        <w:outlineLvl w:val="1"/>
        <w:rPr>
          <w:rFonts w:ascii="宋体" w:cs="宋体"/>
          <w:b/>
          <w:bCs/>
          <w:szCs w:val="24"/>
        </w:rPr>
      </w:pPr>
      <w:r>
        <w:rPr>
          <w:rFonts w:hint="eastAsia" w:ascii="宋体" w:cs="宋体"/>
          <w:b/>
          <w:bCs/>
          <w:szCs w:val="24"/>
        </w:rPr>
        <w:t>八、定价方式</w:t>
      </w:r>
    </w:p>
    <w:p>
      <w:pPr>
        <w:spacing w:line="360" w:lineRule="auto"/>
        <w:ind w:firstLine="484" w:firstLineChars="202"/>
        <w:rPr>
          <w:rFonts w:ascii="宋体" w:cs="宋体"/>
          <w:szCs w:val="24"/>
        </w:rPr>
      </w:pPr>
      <w:r>
        <w:rPr>
          <w:rFonts w:hint="eastAsia" w:ascii="宋体" w:cs="宋体"/>
          <w:szCs w:val="24"/>
        </w:rPr>
        <w:t>1、涉及的货品的价格优先按照广州市中心城区菜篮子平均零售价为基准价，未能在上述菜篮子查询到相应品种价格的，在报价日按以下顺序核定价格： 1）</w:t>
      </w:r>
    </w:p>
    <w:p>
      <w:pPr>
        <w:spacing w:line="360" w:lineRule="auto"/>
        <w:rPr>
          <w:rFonts w:ascii="宋体"/>
        </w:rPr>
      </w:pPr>
      <w:r>
        <w:rPr>
          <w:rFonts w:hint="eastAsia" w:ascii="宋体" w:cs="宋体"/>
          <w:szCs w:val="24"/>
        </w:rPr>
        <w:t>“京东商城自营店（JD.COM）”相同型号或规格产品的价格（不考虑满减、活动返现等折扣）；2）根据项目所在地农贸市场（明月市场或龟岗市场）选取同要求规格的品种的原售价作为基准价。中标人每月第一个工作日向采购人提供食材货物价目表，食材结算价格应等于每月第一个工作日按前述定价规则确定的食材基准价*中标折扣率。供货价格由采购人与供应商双方项目负责人签字确认。</w:t>
      </w:r>
    </w:p>
    <w:p>
      <w:pPr>
        <w:spacing w:line="360" w:lineRule="auto"/>
        <w:ind w:firstLine="484" w:firstLineChars="202"/>
        <w:rPr>
          <w:rFonts w:ascii="宋体" w:cs="宋体"/>
          <w:szCs w:val="24"/>
        </w:rPr>
      </w:pPr>
      <w:r>
        <w:rPr>
          <w:rFonts w:hint="eastAsia" w:ascii="宋体" w:cs="宋体"/>
          <w:szCs w:val="24"/>
        </w:rPr>
        <w:t>2、合同履行期间如某批次出现质量问题，中标人必须保证验收时发现质量问题1小时内无条件对该批次的全部食品进行换货，采购人有权扣除中标人该批次服务款项的20%。一个月累计出现2次或2次以上质量问题的，采购人有权扣中标人该月服务款项的10%，由采购人在该月支付服务款项中直接扣除。</w:t>
      </w:r>
    </w:p>
    <w:p>
      <w:pPr>
        <w:spacing w:line="360" w:lineRule="auto"/>
        <w:ind w:firstLine="480" w:firstLineChars="200"/>
        <w:rPr>
          <w:rFonts w:ascii="宋体" w:cs="宋体"/>
          <w:szCs w:val="24"/>
        </w:rPr>
      </w:pPr>
      <w:r>
        <w:rPr>
          <w:rFonts w:hint="eastAsia" w:ascii="宋体" w:cs="宋体"/>
          <w:szCs w:val="24"/>
        </w:rPr>
        <w:t>3、配送价格必须包含食材成本、包装、运输、装卸、搬运、不合格食材的退换、</w:t>
      </w:r>
      <w:r>
        <w:rPr>
          <w:rFonts w:hint="eastAsia" w:ascii="宋体"/>
        </w:rPr>
        <w:t>合法有效的等额发票</w:t>
      </w:r>
      <w:r>
        <w:rPr>
          <w:rFonts w:hint="eastAsia" w:ascii="宋体" w:cs="宋体"/>
        </w:rPr>
        <w:t>、</w:t>
      </w:r>
      <w:r>
        <w:rPr>
          <w:rFonts w:hint="eastAsia" w:ascii="宋体"/>
        </w:rPr>
        <w:t>所有</w:t>
      </w:r>
      <w:r>
        <w:rPr>
          <w:rFonts w:hint="eastAsia" w:ascii="宋体" w:cs="宋体"/>
        </w:rPr>
        <w:t>投入本项目雇员费用</w:t>
      </w:r>
      <w:r>
        <w:rPr>
          <w:rFonts w:hint="eastAsia" w:ascii="宋体"/>
        </w:rPr>
        <w:t>、</w:t>
      </w:r>
      <w:r>
        <w:rPr>
          <w:rFonts w:hint="eastAsia" w:ascii="宋体" w:cs="宋体"/>
          <w:szCs w:val="24"/>
        </w:rPr>
        <w:t>合同实施过程中的可预见及不可预见费用。</w:t>
      </w:r>
    </w:p>
    <w:p>
      <w:pPr>
        <w:spacing w:line="360" w:lineRule="auto"/>
        <w:ind w:firstLine="240" w:firstLineChars="100"/>
        <w:rPr>
          <w:rFonts w:ascii="宋体" w:cs="宋体"/>
          <w:szCs w:val="24"/>
        </w:rPr>
      </w:pPr>
      <w:r>
        <w:rPr>
          <w:rFonts w:hint="eastAsia" w:ascii="宋体" w:cs="宋体"/>
          <w:szCs w:val="24"/>
        </w:rPr>
        <w:t>★4、本项目以投标折扣率进行报价，以百分比表示，保留2位小数。凡超出（0%＜投标折扣率≤100%）的投标，一律视为无效报价。投标折扣率必须为固定的报价（如5%），不得存在区间值（如2～8%），结算公式：食材结算价格=食材基准价*中标折扣率*实际供货数量。采购人不接受有任何选择的报价，否则将被视为无效投标处理。</w:t>
      </w:r>
    </w:p>
    <w:p>
      <w:pPr>
        <w:tabs>
          <w:tab w:val="left" w:pos="525"/>
          <w:tab w:val="left" w:pos="846"/>
        </w:tabs>
        <w:autoSpaceDE w:val="0"/>
        <w:autoSpaceDN w:val="0"/>
        <w:adjustRightInd w:val="0"/>
        <w:spacing w:line="360" w:lineRule="auto"/>
        <w:ind w:left="420" w:hanging="420"/>
        <w:outlineLvl w:val="1"/>
        <w:rPr>
          <w:rFonts w:ascii="宋体" w:cs="宋体"/>
          <w:b/>
          <w:bCs/>
          <w:szCs w:val="24"/>
        </w:rPr>
      </w:pPr>
      <w:r>
        <w:rPr>
          <w:rFonts w:hint="eastAsia" w:ascii="宋体" w:cs="宋体"/>
          <w:b/>
          <w:bCs/>
          <w:szCs w:val="24"/>
        </w:rPr>
        <w:t>九、付款方式及履约保证金</w:t>
      </w:r>
    </w:p>
    <w:p>
      <w:pPr>
        <w:spacing w:line="360" w:lineRule="auto"/>
        <w:ind w:firstLine="484" w:firstLineChars="202"/>
        <w:rPr>
          <w:rFonts w:ascii="宋体" w:cs="宋体"/>
        </w:rPr>
      </w:pPr>
      <w:r>
        <w:rPr>
          <w:rFonts w:hint="eastAsia" w:ascii="宋体" w:cs="宋体"/>
          <w:szCs w:val="24"/>
        </w:rPr>
        <w:t>1、</w:t>
      </w:r>
      <w:r>
        <w:rPr>
          <w:rFonts w:hint="eastAsia" w:ascii="宋体" w:cs="宋体"/>
        </w:rPr>
        <w:t>履约保证金</w:t>
      </w:r>
    </w:p>
    <w:p>
      <w:pPr>
        <w:spacing w:line="360" w:lineRule="auto"/>
        <w:ind w:firstLine="484" w:firstLineChars="202"/>
        <w:rPr>
          <w:rFonts w:ascii="宋体" w:cs="宋体"/>
          <w:szCs w:val="24"/>
        </w:rPr>
      </w:pPr>
      <w:r>
        <w:rPr>
          <w:rFonts w:hint="eastAsia" w:ascii="宋体" w:cs="宋体"/>
          <w:szCs w:val="24"/>
        </w:rPr>
        <w:t>1.1提交时间：签订合同后10天内提供。</w:t>
      </w:r>
    </w:p>
    <w:p>
      <w:pPr>
        <w:spacing w:line="360" w:lineRule="auto"/>
        <w:ind w:firstLine="484" w:firstLineChars="202"/>
        <w:rPr>
          <w:rFonts w:ascii="宋体" w:cs="宋体"/>
          <w:szCs w:val="24"/>
        </w:rPr>
      </w:pPr>
      <w:r>
        <w:rPr>
          <w:rFonts w:hint="eastAsia" w:ascii="宋体" w:cs="宋体"/>
          <w:szCs w:val="24"/>
        </w:rPr>
        <w:t>1.2收取比例：</w:t>
      </w:r>
      <w:r>
        <w:rPr>
          <w:rFonts w:hint="eastAsia" w:ascii="宋体" w:cs="宋体"/>
          <w:szCs w:val="24"/>
          <w:lang w:val="en-US" w:eastAsia="zh-CN"/>
        </w:rPr>
        <w:t>采购预算200万元</w:t>
      </w:r>
      <w:r>
        <w:rPr>
          <w:rFonts w:hint="eastAsia" w:ascii="宋体" w:cs="宋体"/>
          <w:szCs w:val="24"/>
        </w:rPr>
        <w:t xml:space="preserve">的5%。 </w:t>
      </w:r>
    </w:p>
    <w:p>
      <w:pPr>
        <w:spacing w:line="360" w:lineRule="auto"/>
        <w:ind w:firstLine="484" w:firstLineChars="202"/>
        <w:rPr>
          <w:rFonts w:ascii="宋体" w:cs="宋体"/>
          <w:szCs w:val="24"/>
        </w:rPr>
      </w:pPr>
      <w:r>
        <w:rPr>
          <w:rFonts w:hint="eastAsia" w:ascii="宋体" w:cs="宋体"/>
          <w:szCs w:val="24"/>
        </w:rPr>
        <w:t>1.3方式：履约保证金以支票、汇票、本票或者金融机构、担保机构出具的保函等非现金形式向采购人提交履约保证金。 如以银行保函方式提供的有效期须涵盖每次合同签订的服务期。</w:t>
      </w:r>
    </w:p>
    <w:p>
      <w:pPr>
        <w:spacing w:line="360" w:lineRule="auto"/>
        <w:ind w:firstLine="484" w:firstLineChars="202"/>
        <w:rPr>
          <w:rFonts w:ascii="宋体" w:cs="宋体"/>
          <w:szCs w:val="24"/>
        </w:rPr>
      </w:pPr>
      <w:r>
        <w:rPr>
          <w:rFonts w:hint="eastAsia" w:ascii="宋体" w:cs="宋体"/>
          <w:szCs w:val="24"/>
        </w:rPr>
        <w:t>1.4</w:t>
      </w:r>
      <w:r>
        <w:rPr>
          <w:rFonts w:hint="eastAsia" w:cs="宋体"/>
          <w:color w:val="000000"/>
          <w:szCs w:val="24"/>
        </w:rPr>
        <w:t>若中标人没有违约行为，履约保证金在整体验收合格后由中标人向采购人提出退还申请，采购人在中标人提出申请后</w:t>
      </w:r>
      <w:r>
        <w:rPr>
          <w:rFonts w:cs="宋体"/>
          <w:color w:val="000000"/>
          <w:szCs w:val="24"/>
        </w:rPr>
        <w:t>15个工作日内</w:t>
      </w:r>
      <w:r>
        <w:rPr>
          <w:rFonts w:hint="eastAsia" w:cs="宋体"/>
          <w:color w:val="000000"/>
          <w:szCs w:val="24"/>
        </w:rPr>
        <w:t xml:space="preserve">无息退还中标人。采购人逾期退还履约保证金的，除应当退还履约保证金的本金外，还应当按中国人民银行同期活期利率支付超期资金占用费，但因中标人自身原因导致无法及时退还的除外。 </w:t>
      </w:r>
    </w:p>
    <w:p>
      <w:pPr>
        <w:spacing w:line="360" w:lineRule="auto"/>
        <w:ind w:firstLine="484" w:firstLineChars="202"/>
        <w:rPr>
          <w:rFonts w:ascii="宋体" w:cs="宋体"/>
          <w:szCs w:val="24"/>
        </w:rPr>
      </w:pPr>
      <w:r>
        <w:rPr>
          <w:rFonts w:hint="eastAsia" w:ascii="宋体" w:cs="宋体"/>
          <w:szCs w:val="24"/>
        </w:rPr>
        <w:t>1.5下列任何一种情况发生时，采购人有权不予退还履约保证金并根据中标人造成损失情况要求中标人赔偿采购人相应经济损失：A.因中标人违约导致工作缺失，采购人书面通知 2 次后仍不整改；B.有明显证据证明中标人未履行本合同约定的；C.中标人有明显过错致采购人造成损失的。</w:t>
      </w:r>
    </w:p>
    <w:p>
      <w:pPr>
        <w:spacing w:line="360" w:lineRule="auto"/>
        <w:ind w:firstLine="484" w:firstLineChars="202"/>
        <w:rPr>
          <w:rFonts w:ascii="宋体" w:cs="宋体"/>
          <w:szCs w:val="24"/>
        </w:rPr>
      </w:pPr>
      <w:r>
        <w:rPr>
          <w:rFonts w:hint="eastAsia" w:ascii="宋体" w:cs="宋体"/>
          <w:szCs w:val="24"/>
        </w:rPr>
        <w:t>2、服务款项按月结算，在办理付款手续之前双方须对供应食材的品种、数量、单价、金额等进行统计，并核实无误。</w:t>
      </w:r>
    </w:p>
    <w:p>
      <w:pPr>
        <w:spacing w:line="360" w:lineRule="auto"/>
        <w:ind w:firstLine="484" w:firstLineChars="202"/>
        <w:rPr>
          <w:rFonts w:ascii="宋体" w:cs="宋体"/>
          <w:szCs w:val="24"/>
        </w:rPr>
      </w:pPr>
      <w:r>
        <w:rPr>
          <w:rFonts w:hint="eastAsia" w:ascii="宋体" w:cs="宋体"/>
          <w:szCs w:val="24"/>
        </w:rPr>
        <w:t>3、中标人在完成当月供货订单并验收合格后，于次月10日前凭合法有效的等额发票</w:t>
      </w:r>
      <w:r>
        <w:rPr>
          <w:rFonts w:hint="eastAsia" w:ascii="宋体" w:cs="宋体"/>
          <w:szCs w:val="24"/>
          <w:lang w:eastAsia="zh-CN"/>
        </w:rPr>
        <w:t>（</w:t>
      </w:r>
      <w:r>
        <w:rPr>
          <w:rFonts w:hint="eastAsia" w:ascii="宋体" w:cs="宋体"/>
          <w:szCs w:val="24"/>
          <w:lang w:val="en-US" w:eastAsia="zh-CN"/>
        </w:rPr>
        <w:t>除按照税法规定需开具免税增值税普通发票外，应开具增值税专用发票</w:t>
      </w:r>
      <w:r>
        <w:rPr>
          <w:rFonts w:hint="eastAsia" w:ascii="宋体" w:cs="宋体"/>
          <w:szCs w:val="24"/>
          <w:lang w:eastAsia="zh-CN"/>
        </w:rPr>
        <w:t>）</w:t>
      </w:r>
      <w:r>
        <w:rPr>
          <w:rFonts w:hint="eastAsia" w:ascii="宋体" w:cs="宋体"/>
          <w:szCs w:val="24"/>
        </w:rPr>
        <w:t>向采购人申请付款，采购人收到发票后在</w:t>
      </w:r>
      <w:r>
        <w:rPr>
          <w:rFonts w:hint="eastAsia"/>
        </w:rPr>
        <w:t>10个工作日</w:t>
      </w:r>
      <w:r>
        <w:rPr>
          <w:rFonts w:hint="eastAsia" w:ascii="宋体" w:cs="宋体"/>
          <w:szCs w:val="24"/>
        </w:rPr>
        <w:t>内</w:t>
      </w:r>
      <w:r>
        <w:rPr>
          <w:rFonts w:hint="eastAsia" w:ascii="宋体"/>
          <w:szCs w:val="24"/>
        </w:rPr>
        <w:t>支付给中标人</w:t>
      </w:r>
      <w:r>
        <w:rPr>
          <w:rFonts w:hint="eastAsia" w:ascii="宋体" w:cs="宋体"/>
          <w:szCs w:val="24"/>
        </w:rPr>
        <w:t>。</w:t>
      </w:r>
    </w:p>
    <w:p>
      <w:pPr>
        <w:pStyle w:val="41"/>
        <w:adjustRightInd w:val="0"/>
        <w:snapToGrid w:val="0"/>
        <w:spacing w:line="360" w:lineRule="auto"/>
        <w:ind w:firstLine="480" w:firstLineChars="200"/>
        <w:rPr>
          <w:color w:val="auto"/>
        </w:rPr>
      </w:pPr>
      <w:r>
        <w:rPr>
          <w:rFonts w:hint="eastAsia"/>
          <w:color w:val="auto"/>
        </w:rPr>
        <w:t>4、中标人应在每笔款项请款前向采购人提供合法有效的等额发票，如中标人未提供等额合法有效发票的或提供发票不符合约定的，采购人有权拒绝办理财政支付申请手续且无须承担逾期申请付款的违约责任。</w:t>
      </w:r>
    </w:p>
    <w:p>
      <w:pPr>
        <w:pStyle w:val="41"/>
        <w:adjustRightInd w:val="0"/>
        <w:snapToGrid w:val="0"/>
        <w:spacing w:line="360" w:lineRule="auto"/>
        <w:ind w:firstLine="480" w:firstLineChars="200"/>
        <w:rPr>
          <w:color w:val="auto"/>
        </w:rPr>
      </w:pPr>
      <w:r>
        <w:rPr>
          <w:rFonts w:hint="eastAsia"/>
          <w:color w:val="auto"/>
        </w:rPr>
        <w:t>5、如因中标人未能按期完成最终验收、政府财政支付流程、资金到位等特殊情况导致的支付延期，采购人不承担任何相关违约责任，不支付因此产生的利息。</w:t>
      </w:r>
    </w:p>
    <w:p>
      <w:pPr>
        <w:tabs>
          <w:tab w:val="left" w:pos="525"/>
          <w:tab w:val="left" w:pos="846"/>
        </w:tabs>
        <w:autoSpaceDE w:val="0"/>
        <w:autoSpaceDN w:val="0"/>
        <w:adjustRightInd w:val="0"/>
        <w:spacing w:line="360" w:lineRule="auto"/>
        <w:ind w:left="420" w:hanging="420"/>
        <w:outlineLvl w:val="1"/>
        <w:rPr>
          <w:rFonts w:ascii="宋体" w:cs="宋体"/>
          <w:b/>
          <w:bCs/>
          <w:szCs w:val="24"/>
        </w:rPr>
      </w:pPr>
      <w:r>
        <w:rPr>
          <w:rFonts w:hint="eastAsia" w:ascii="宋体" w:cs="宋体"/>
          <w:b/>
          <w:bCs/>
          <w:szCs w:val="24"/>
        </w:rPr>
        <w:t>十、检验及费用负担</w:t>
      </w:r>
    </w:p>
    <w:p>
      <w:pPr>
        <w:spacing w:line="360" w:lineRule="auto"/>
        <w:ind w:firstLine="484" w:firstLineChars="202"/>
        <w:rPr>
          <w:rFonts w:ascii="宋体" w:cs="宋体"/>
          <w:szCs w:val="24"/>
        </w:rPr>
      </w:pPr>
      <w:r>
        <w:rPr>
          <w:rFonts w:hint="eastAsia" w:ascii="宋体" w:cs="宋体"/>
          <w:szCs w:val="24"/>
        </w:rPr>
        <w:t>1、如中标人不具备食品出厂检验能力，应按照就近的原则委托国家</w:t>
      </w:r>
      <w:r>
        <w:rPr>
          <w:rFonts w:hint="eastAsia" w:ascii="宋体" w:cs="宋体"/>
          <w:szCs w:val="24"/>
          <w:lang w:eastAsia="zh-CN"/>
        </w:rPr>
        <w:t>市场监督管理总局</w:t>
      </w:r>
      <w:r>
        <w:rPr>
          <w:rFonts w:hint="eastAsia" w:ascii="宋体" w:cs="宋体"/>
          <w:szCs w:val="24"/>
        </w:rPr>
        <w:t>指定并同意公布的检验机构进行货物出厂检验。中标人具备出厂检验能力须按规定实施货物出厂检验，并向采购人提供每批食品检验资料，费用由中标人负担。</w:t>
      </w:r>
    </w:p>
    <w:p>
      <w:pPr>
        <w:spacing w:line="360" w:lineRule="auto"/>
        <w:ind w:firstLine="484" w:firstLineChars="202"/>
        <w:rPr>
          <w:rFonts w:ascii="宋体" w:cs="宋体"/>
          <w:szCs w:val="24"/>
        </w:rPr>
      </w:pPr>
      <w:r>
        <w:rPr>
          <w:rFonts w:hint="eastAsia" w:ascii="宋体" w:cs="宋体"/>
          <w:szCs w:val="24"/>
        </w:rPr>
        <w:t>2、质量与检验：</w:t>
      </w:r>
    </w:p>
    <w:p>
      <w:pPr>
        <w:spacing w:line="360" w:lineRule="auto"/>
        <w:ind w:firstLine="484" w:firstLineChars="202"/>
        <w:rPr>
          <w:rFonts w:ascii="宋体" w:cs="宋体"/>
          <w:szCs w:val="24"/>
        </w:rPr>
      </w:pPr>
      <w:r>
        <w:rPr>
          <w:rFonts w:hint="eastAsia" w:ascii="宋体" w:cs="宋体"/>
          <w:szCs w:val="24"/>
        </w:rPr>
        <w:t>①中标人应严格按照合同要求和国家、部有关行业标准生产和检验，确保食品质量。凡中标人提供的食品因质量问题造成食物中毒或肠道病等事故，由中标人承担一切责任并赔偿一切损失。</w:t>
      </w:r>
    </w:p>
    <w:p>
      <w:pPr>
        <w:spacing w:line="360" w:lineRule="auto"/>
        <w:ind w:firstLine="484" w:firstLineChars="202"/>
        <w:rPr>
          <w:rFonts w:ascii="宋体" w:cs="宋体"/>
          <w:szCs w:val="24"/>
        </w:rPr>
      </w:pPr>
      <w:r>
        <w:rPr>
          <w:rFonts w:hint="eastAsia" w:ascii="宋体" w:cs="Calibri"/>
          <w:szCs w:val="24"/>
        </w:rPr>
        <w:t>②</w:t>
      </w:r>
      <w:r>
        <w:rPr>
          <w:rFonts w:hint="eastAsia" w:ascii="宋体" w:cs="宋体"/>
          <w:szCs w:val="24"/>
        </w:rPr>
        <w:t>对有质疑的食品可送有关检测部门进行质量确认，如质量有问题，则检测费用由中标人支付；否则检测费用由采购人支付。</w:t>
      </w:r>
    </w:p>
    <w:p>
      <w:pPr>
        <w:spacing w:line="360" w:lineRule="auto"/>
        <w:ind w:firstLine="480" w:firstLineChars="200"/>
        <w:rPr>
          <w:rFonts w:ascii="宋体" w:cs="宋体"/>
          <w:szCs w:val="24"/>
        </w:rPr>
      </w:pPr>
      <w:r>
        <w:rPr>
          <w:rFonts w:hint="eastAsia" w:ascii="宋体" w:cs="Calibri"/>
          <w:szCs w:val="24"/>
        </w:rPr>
        <w:t>③</w:t>
      </w:r>
      <w:r>
        <w:rPr>
          <w:rFonts w:hint="eastAsia" w:ascii="宋体" w:cs="宋体"/>
          <w:szCs w:val="24"/>
        </w:rPr>
        <w:t>中标人所供应的食品送达时，必须提供地级市以上卫生或质监部门的检验合格证明。</w:t>
      </w:r>
    </w:p>
    <w:p>
      <w:pPr>
        <w:tabs>
          <w:tab w:val="left" w:pos="525"/>
          <w:tab w:val="left" w:pos="846"/>
        </w:tabs>
        <w:autoSpaceDE w:val="0"/>
        <w:autoSpaceDN w:val="0"/>
        <w:adjustRightInd w:val="0"/>
        <w:spacing w:line="360" w:lineRule="auto"/>
        <w:ind w:left="420" w:hanging="420"/>
        <w:outlineLvl w:val="1"/>
        <w:rPr>
          <w:rFonts w:ascii="宋体" w:cs="宋体"/>
          <w:b/>
          <w:bCs/>
          <w:szCs w:val="24"/>
        </w:rPr>
      </w:pPr>
      <w:r>
        <w:rPr>
          <w:rFonts w:hint="eastAsia" w:ascii="宋体" w:cs="宋体"/>
          <w:b/>
          <w:bCs/>
          <w:szCs w:val="24"/>
        </w:rPr>
        <w:t>十一、考核要求（验收要求）</w:t>
      </w:r>
    </w:p>
    <w:p>
      <w:pPr>
        <w:spacing w:line="360" w:lineRule="auto"/>
        <w:ind w:firstLine="480" w:firstLineChars="200"/>
        <w:rPr>
          <w:rFonts w:ascii="宋体" w:cs="宋体"/>
          <w:szCs w:val="24"/>
        </w:rPr>
      </w:pPr>
      <w:r>
        <w:rPr>
          <w:rFonts w:hint="eastAsia" w:ascii="宋体" w:cs="宋体"/>
          <w:szCs w:val="24"/>
        </w:rPr>
        <w:t>1、采购人每月按照《月度考核评分表》对中标人的服务进行考核：</w:t>
      </w:r>
    </w:p>
    <w:p>
      <w:pPr>
        <w:spacing w:line="360" w:lineRule="auto"/>
        <w:ind w:firstLine="480" w:firstLineChars="200"/>
        <w:rPr>
          <w:rFonts w:ascii="宋体" w:cs="宋体"/>
          <w:szCs w:val="24"/>
        </w:rPr>
      </w:pPr>
      <w:r>
        <w:rPr>
          <w:rFonts w:hint="eastAsia" w:ascii="宋体" w:cs="宋体"/>
          <w:szCs w:val="24"/>
        </w:rPr>
        <w:t>（1）90分及以上为优秀，全额支付当月服务款项，中标人应持续保持服务水平；</w:t>
      </w:r>
    </w:p>
    <w:p>
      <w:pPr>
        <w:spacing w:line="360" w:lineRule="auto"/>
        <w:ind w:firstLine="480" w:firstLineChars="200"/>
        <w:rPr>
          <w:rFonts w:ascii="宋体" w:cs="宋体"/>
          <w:szCs w:val="24"/>
        </w:rPr>
      </w:pPr>
      <w:r>
        <w:rPr>
          <w:rFonts w:hint="eastAsia" w:ascii="宋体" w:cs="宋体"/>
          <w:szCs w:val="24"/>
        </w:rPr>
        <w:t>（2）80分至89分为良好，全额支付当月服务款项，但是中标人需对存在的问题进行自查自改，并在一周内提交整改报告；</w:t>
      </w:r>
    </w:p>
    <w:p>
      <w:pPr>
        <w:spacing w:line="360" w:lineRule="auto"/>
        <w:ind w:firstLine="480" w:firstLineChars="200"/>
        <w:rPr>
          <w:rFonts w:ascii="宋体" w:cs="宋体"/>
          <w:szCs w:val="24"/>
        </w:rPr>
      </w:pPr>
      <w:r>
        <w:rPr>
          <w:rFonts w:hint="eastAsia" w:ascii="宋体" w:cs="宋体"/>
          <w:szCs w:val="24"/>
        </w:rPr>
        <w:t>（3）70分至79分为及格，中标人对存在的问题进行自查自改，并在一周内提交整改报告，采购人有权直接从当月食品费中扣除不高于30%的服务款项；</w:t>
      </w:r>
    </w:p>
    <w:p>
      <w:pPr>
        <w:spacing w:line="360" w:lineRule="auto"/>
        <w:ind w:firstLine="480" w:firstLineChars="200"/>
        <w:rPr>
          <w:rFonts w:ascii="宋体" w:cs="宋体"/>
          <w:szCs w:val="24"/>
        </w:rPr>
      </w:pPr>
      <w:r>
        <w:rPr>
          <w:rFonts w:hint="eastAsia" w:ascii="宋体" w:cs="宋体"/>
          <w:szCs w:val="24"/>
        </w:rPr>
        <w:t>（4）70分（不含）以下为不及格；采购人有权直接从当月服务款项中扣除不高于50%服务款项，并约谈中标人法人代表或授权代表人。</w:t>
      </w:r>
    </w:p>
    <w:p>
      <w:pPr>
        <w:spacing w:line="360" w:lineRule="auto"/>
        <w:ind w:firstLine="480" w:firstLineChars="200"/>
        <w:rPr>
          <w:rFonts w:ascii="宋体" w:cs="宋体"/>
          <w:szCs w:val="24"/>
        </w:rPr>
      </w:pPr>
      <w:r>
        <w:rPr>
          <w:rFonts w:hint="eastAsia" w:ascii="宋体" w:cs="宋体"/>
          <w:szCs w:val="24"/>
        </w:rPr>
        <w:t>2、《月度考核评分表》</w:t>
      </w:r>
    </w:p>
    <w:tbl>
      <w:tblPr>
        <w:tblStyle w:val="31"/>
        <w:tblW w:w="5000" w:type="pct"/>
        <w:tblInd w:w="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autofit"/>
        <w:tblCellMar>
          <w:top w:w="0" w:type="dxa"/>
          <w:left w:w="108" w:type="dxa"/>
          <w:bottom w:w="0" w:type="dxa"/>
          <w:right w:w="108" w:type="dxa"/>
        </w:tblCellMar>
      </w:tblPr>
      <w:tblGrid>
        <w:gridCol w:w="1669"/>
        <w:gridCol w:w="1011"/>
        <w:gridCol w:w="5084"/>
        <w:gridCol w:w="758"/>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1669" w:type="dxa"/>
            <w:noWrap/>
            <w:vAlign w:val="center"/>
          </w:tcPr>
          <w:p>
            <w:pPr>
              <w:spacing w:line="360" w:lineRule="auto"/>
              <w:jc w:val="center"/>
              <w:rPr>
                <w:rFonts w:ascii="宋体" w:cs="宋体"/>
                <w:szCs w:val="24"/>
              </w:rPr>
            </w:pPr>
            <w:r>
              <w:rPr>
                <w:rFonts w:hint="eastAsia" w:ascii="宋体" w:cs="宋体"/>
                <w:szCs w:val="24"/>
              </w:rPr>
              <w:t>考核指标</w:t>
            </w:r>
          </w:p>
        </w:tc>
        <w:tc>
          <w:tcPr>
            <w:tcW w:w="1011" w:type="dxa"/>
            <w:noWrap/>
            <w:vAlign w:val="center"/>
          </w:tcPr>
          <w:p>
            <w:pPr>
              <w:spacing w:line="360" w:lineRule="auto"/>
              <w:jc w:val="center"/>
              <w:rPr>
                <w:rFonts w:ascii="宋体" w:cs="宋体"/>
                <w:szCs w:val="24"/>
              </w:rPr>
            </w:pPr>
            <w:r>
              <w:rPr>
                <w:rFonts w:hint="eastAsia" w:ascii="宋体" w:cs="宋体"/>
                <w:szCs w:val="24"/>
              </w:rPr>
              <w:t>扣分上限分值</w:t>
            </w:r>
          </w:p>
        </w:tc>
        <w:tc>
          <w:tcPr>
            <w:tcW w:w="5084" w:type="dxa"/>
            <w:noWrap/>
            <w:vAlign w:val="center"/>
          </w:tcPr>
          <w:p>
            <w:pPr>
              <w:spacing w:line="360" w:lineRule="auto"/>
              <w:jc w:val="center"/>
              <w:rPr>
                <w:rFonts w:ascii="宋体" w:cs="宋体"/>
                <w:szCs w:val="24"/>
              </w:rPr>
            </w:pPr>
            <w:r>
              <w:rPr>
                <w:rFonts w:hint="eastAsia" w:ascii="宋体" w:cs="宋体"/>
                <w:szCs w:val="24"/>
              </w:rPr>
              <w:t>考核要素和评估内容及其标准</w:t>
            </w:r>
          </w:p>
        </w:tc>
        <w:tc>
          <w:tcPr>
            <w:tcW w:w="758" w:type="dxa"/>
            <w:noWrap/>
            <w:vAlign w:val="center"/>
          </w:tcPr>
          <w:p>
            <w:pPr>
              <w:spacing w:line="360" w:lineRule="auto"/>
              <w:jc w:val="center"/>
              <w:rPr>
                <w:rFonts w:ascii="宋体" w:cs="宋体"/>
                <w:szCs w:val="24"/>
              </w:rPr>
            </w:pPr>
            <w:r>
              <w:rPr>
                <w:rFonts w:hint="eastAsia" w:ascii="宋体" w:cs="宋体"/>
                <w:szCs w:val="24"/>
              </w:rPr>
              <w:t>扣分</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1669" w:type="dxa"/>
            <w:noWrap/>
            <w:vAlign w:val="center"/>
          </w:tcPr>
          <w:p>
            <w:pPr>
              <w:spacing w:line="360" w:lineRule="auto"/>
              <w:jc w:val="center"/>
              <w:rPr>
                <w:rFonts w:ascii="宋体" w:cs="宋体"/>
                <w:szCs w:val="24"/>
              </w:rPr>
            </w:pPr>
            <w:r>
              <w:rPr>
                <w:rFonts w:hint="eastAsia" w:ascii="宋体" w:cs="宋体"/>
                <w:szCs w:val="24"/>
              </w:rPr>
              <w:t>一、货物质量</w:t>
            </w:r>
          </w:p>
        </w:tc>
        <w:tc>
          <w:tcPr>
            <w:tcW w:w="1011" w:type="dxa"/>
            <w:noWrap/>
            <w:vAlign w:val="center"/>
          </w:tcPr>
          <w:p>
            <w:pPr>
              <w:spacing w:line="360" w:lineRule="auto"/>
              <w:jc w:val="center"/>
              <w:rPr>
                <w:rFonts w:ascii="宋体" w:cs="宋体"/>
                <w:szCs w:val="24"/>
              </w:rPr>
            </w:pPr>
            <w:r>
              <w:rPr>
                <w:rFonts w:hint="eastAsia" w:ascii="宋体" w:cs="宋体"/>
                <w:szCs w:val="24"/>
              </w:rPr>
              <w:t>45</w:t>
            </w:r>
          </w:p>
        </w:tc>
        <w:tc>
          <w:tcPr>
            <w:tcW w:w="5084" w:type="dxa"/>
            <w:noWrap/>
            <w:vAlign w:val="center"/>
          </w:tcPr>
          <w:p>
            <w:pPr>
              <w:spacing w:line="360" w:lineRule="auto"/>
              <w:rPr>
                <w:rFonts w:ascii="宋体" w:cs="宋体"/>
                <w:szCs w:val="24"/>
              </w:rPr>
            </w:pPr>
            <w:r>
              <w:rPr>
                <w:rFonts w:hint="eastAsia" w:ascii="宋体" w:cs="宋体"/>
                <w:szCs w:val="24"/>
              </w:rPr>
              <w:t>1、食材质量必须符合采购人所需及相关规定，不能出现“以次充好”或“假冒伪劣”的情况。若发现食材有上述问题的，采购人有权拒收，并责令其在规定的时间内重新送货。当月内该现象出现：第一次扣2分，第二次扣3分，第三次扣5分，第四次扣10分并约谈中标人法人代表或授权代表人。</w:t>
            </w:r>
          </w:p>
          <w:p>
            <w:pPr>
              <w:spacing w:line="360" w:lineRule="auto"/>
              <w:rPr>
                <w:rFonts w:ascii="宋体" w:cs="宋体"/>
                <w:szCs w:val="24"/>
              </w:rPr>
            </w:pPr>
            <w:r>
              <w:rPr>
                <w:rFonts w:hint="eastAsia" w:ascii="宋体" w:cs="宋体"/>
                <w:szCs w:val="24"/>
              </w:rPr>
              <w:t>2、中标人若供应的食材存在严重质量问题（如：变质、发霉、有异味及牛奶胀气发酸等），采购人有权拒收，并责令其在规定的时间内重新送货；当月内该现象出现：第一次扣1分，第二次扣2分，第三次扣4分，第四次扣10分并约谈中标人法人代表或授权代表人。</w:t>
            </w:r>
          </w:p>
        </w:tc>
        <w:tc>
          <w:tcPr>
            <w:tcW w:w="758" w:type="dxa"/>
            <w:noWrap/>
            <w:vAlign w:val="center"/>
          </w:tcPr>
          <w:p>
            <w:pPr>
              <w:spacing w:line="360" w:lineRule="auto"/>
              <w:jc w:val="center"/>
              <w:rPr>
                <w:rFonts w:ascii="宋体" w:cs="宋体"/>
                <w:szCs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1669" w:type="dxa"/>
            <w:noWrap/>
            <w:vAlign w:val="center"/>
          </w:tcPr>
          <w:p>
            <w:pPr>
              <w:spacing w:line="360" w:lineRule="auto"/>
              <w:jc w:val="center"/>
              <w:rPr>
                <w:rFonts w:ascii="宋体" w:cs="宋体"/>
                <w:szCs w:val="24"/>
              </w:rPr>
            </w:pPr>
            <w:r>
              <w:rPr>
                <w:rFonts w:hint="eastAsia" w:ascii="宋体" w:cs="宋体"/>
                <w:szCs w:val="24"/>
              </w:rPr>
              <w:t>二、配送服务</w:t>
            </w:r>
          </w:p>
        </w:tc>
        <w:tc>
          <w:tcPr>
            <w:tcW w:w="1011" w:type="dxa"/>
            <w:noWrap/>
            <w:vAlign w:val="center"/>
          </w:tcPr>
          <w:p>
            <w:pPr>
              <w:spacing w:line="360" w:lineRule="auto"/>
              <w:jc w:val="center"/>
              <w:rPr>
                <w:rFonts w:ascii="宋体" w:cs="宋体"/>
                <w:szCs w:val="24"/>
              </w:rPr>
            </w:pPr>
            <w:r>
              <w:rPr>
                <w:rFonts w:hint="eastAsia" w:ascii="宋体" w:cs="宋体"/>
                <w:szCs w:val="24"/>
              </w:rPr>
              <w:t>15</w:t>
            </w:r>
          </w:p>
        </w:tc>
        <w:tc>
          <w:tcPr>
            <w:tcW w:w="5084" w:type="dxa"/>
            <w:noWrap/>
            <w:vAlign w:val="center"/>
          </w:tcPr>
          <w:p>
            <w:pPr>
              <w:spacing w:line="360" w:lineRule="auto"/>
              <w:rPr>
                <w:rFonts w:ascii="宋体" w:cs="宋体"/>
                <w:szCs w:val="24"/>
              </w:rPr>
            </w:pPr>
            <w:r>
              <w:rPr>
                <w:rFonts w:hint="eastAsia" w:ascii="宋体" w:cs="宋体"/>
                <w:szCs w:val="24"/>
              </w:rPr>
              <w:t>1、中标人必须按照采购人要求的验货时间进行配送，应一次不漏地按时送达。发现不准时送达的第一次扣1分，第二次扣2分，第三次或以上扣3分。</w:t>
            </w:r>
          </w:p>
          <w:p>
            <w:pPr>
              <w:spacing w:line="360" w:lineRule="auto"/>
              <w:rPr>
                <w:rFonts w:ascii="宋体" w:cs="宋体"/>
                <w:szCs w:val="24"/>
              </w:rPr>
            </w:pPr>
            <w:r>
              <w:rPr>
                <w:rFonts w:hint="eastAsia" w:ascii="宋体" w:cs="宋体"/>
                <w:szCs w:val="24"/>
              </w:rPr>
              <w:t>2、中标人所使用的运输容器、运输载具、运输包装等符合相关规定，若不符合每扣1分。</w:t>
            </w:r>
          </w:p>
          <w:p>
            <w:pPr>
              <w:spacing w:line="360" w:lineRule="auto"/>
              <w:rPr>
                <w:rFonts w:ascii="宋体" w:cs="宋体"/>
                <w:szCs w:val="24"/>
              </w:rPr>
            </w:pPr>
            <w:r>
              <w:rPr>
                <w:rFonts w:hint="eastAsia" w:ascii="宋体" w:cs="宋体"/>
                <w:szCs w:val="24"/>
              </w:rPr>
              <w:t>3、中标人安排配送货物的工作人员必须持有健康证明，配送品种与订单相符，每缺一人（项）扣1分。</w:t>
            </w:r>
          </w:p>
        </w:tc>
        <w:tc>
          <w:tcPr>
            <w:tcW w:w="758" w:type="dxa"/>
            <w:noWrap/>
            <w:vAlign w:val="center"/>
          </w:tcPr>
          <w:p>
            <w:pPr>
              <w:spacing w:line="360" w:lineRule="auto"/>
              <w:jc w:val="center"/>
              <w:rPr>
                <w:rFonts w:ascii="宋体" w:cs="宋体"/>
                <w:szCs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1669" w:type="dxa"/>
            <w:noWrap/>
            <w:vAlign w:val="center"/>
          </w:tcPr>
          <w:p>
            <w:pPr>
              <w:spacing w:line="360" w:lineRule="auto"/>
              <w:jc w:val="center"/>
              <w:rPr>
                <w:rFonts w:ascii="宋体" w:cs="宋体"/>
                <w:szCs w:val="24"/>
              </w:rPr>
            </w:pPr>
            <w:r>
              <w:rPr>
                <w:rFonts w:hint="eastAsia" w:ascii="宋体" w:cs="宋体"/>
                <w:szCs w:val="24"/>
              </w:rPr>
              <w:t>三、货物来源</w:t>
            </w:r>
          </w:p>
        </w:tc>
        <w:tc>
          <w:tcPr>
            <w:tcW w:w="1011" w:type="dxa"/>
            <w:noWrap/>
            <w:vAlign w:val="center"/>
          </w:tcPr>
          <w:p>
            <w:pPr>
              <w:spacing w:line="360" w:lineRule="auto"/>
              <w:jc w:val="center"/>
              <w:rPr>
                <w:rFonts w:ascii="宋体" w:cs="宋体"/>
                <w:szCs w:val="24"/>
              </w:rPr>
            </w:pPr>
            <w:r>
              <w:rPr>
                <w:rFonts w:hint="eastAsia" w:ascii="宋体" w:cs="宋体"/>
                <w:szCs w:val="24"/>
              </w:rPr>
              <w:t>10</w:t>
            </w:r>
          </w:p>
        </w:tc>
        <w:tc>
          <w:tcPr>
            <w:tcW w:w="5084" w:type="dxa"/>
            <w:noWrap/>
            <w:vAlign w:val="center"/>
          </w:tcPr>
          <w:p>
            <w:pPr>
              <w:spacing w:line="360" w:lineRule="auto"/>
              <w:rPr>
                <w:rFonts w:ascii="宋体" w:cs="宋体"/>
                <w:szCs w:val="24"/>
              </w:rPr>
            </w:pPr>
            <w:r>
              <w:rPr>
                <w:rFonts w:hint="eastAsia" w:ascii="宋体" w:cs="宋体"/>
                <w:szCs w:val="24"/>
              </w:rPr>
              <w:t>中标人必须按采购人要求提供货物来源证明。来源不清或不符合相关规定的，发现第一次扣1分，第二次扣2分，第三次或以上扣4分。</w:t>
            </w:r>
          </w:p>
        </w:tc>
        <w:tc>
          <w:tcPr>
            <w:tcW w:w="758" w:type="dxa"/>
            <w:noWrap/>
            <w:vAlign w:val="center"/>
          </w:tcPr>
          <w:p>
            <w:pPr>
              <w:spacing w:line="360" w:lineRule="auto"/>
              <w:jc w:val="center"/>
              <w:rPr>
                <w:rFonts w:ascii="宋体" w:cs="宋体"/>
                <w:szCs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1669" w:type="dxa"/>
            <w:noWrap/>
            <w:vAlign w:val="center"/>
          </w:tcPr>
          <w:p>
            <w:pPr>
              <w:spacing w:line="360" w:lineRule="auto"/>
              <w:jc w:val="center"/>
              <w:rPr>
                <w:rFonts w:ascii="宋体" w:cs="宋体"/>
                <w:szCs w:val="24"/>
              </w:rPr>
            </w:pPr>
            <w:r>
              <w:rPr>
                <w:rFonts w:hint="eastAsia" w:ascii="宋体" w:cs="宋体"/>
                <w:szCs w:val="24"/>
              </w:rPr>
              <w:t>四、应急反应</w:t>
            </w:r>
          </w:p>
        </w:tc>
        <w:tc>
          <w:tcPr>
            <w:tcW w:w="1011" w:type="dxa"/>
            <w:noWrap/>
            <w:vAlign w:val="center"/>
          </w:tcPr>
          <w:p>
            <w:pPr>
              <w:spacing w:line="360" w:lineRule="auto"/>
              <w:jc w:val="center"/>
              <w:rPr>
                <w:rFonts w:ascii="宋体" w:cs="宋体"/>
                <w:szCs w:val="24"/>
              </w:rPr>
            </w:pPr>
            <w:r>
              <w:rPr>
                <w:rFonts w:hint="eastAsia" w:ascii="宋体" w:cs="宋体"/>
                <w:szCs w:val="24"/>
              </w:rPr>
              <w:t>10</w:t>
            </w:r>
          </w:p>
        </w:tc>
        <w:tc>
          <w:tcPr>
            <w:tcW w:w="5084" w:type="dxa"/>
            <w:noWrap/>
            <w:vAlign w:val="center"/>
          </w:tcPr>
          <w:p>
            <w:pPr>
              <w:spacing w:line="360" w:lineRule="auto"/>
              <w:rPr>
                <w:rFonts w:ascii="宋体" w:cs="宋体"/>
                <w:szCs w:val="24"/>
              </w:rPr>
            </w:pPr>
            <w:r>
              <w:rPr>
                <w:rFonts w:hint="eastAsia" w:ascii="宋体" w:cs="宋体"/>
                <w:szCs w:val="24"/>
              </w:rPr>
              <w:t>中标人按采购人要求在规定的时间内重新送货的时，遇到不能按时送达的发现第一次扣1分，第二次扣2分，第三次或以上扣3分。</w:t>
            </w:r>
          </w:p>
        </w:tc>
        <w:tc>
          <w:tcPr>
            <w:tcW w:w="758" w:type="dxa"/>
            <w:noWrap/>
            <w:vAlign w:val="center"/>
          </w:tcPr>
          <w:p>
            <w:pPr>
              <w:spacing w:line="360" w:lineRule="auto"/>
              <w:jc w:val="center"/>
              <w:rPr>
                <w:rFonts w:ascii="宋体" w:cs="宋体"/>
                <w:szCs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1669" w:type="dxa"/>
            <w:noWrap/>
            <w:vAlign w:val="center"/>
          </w:tcPr>
          <w:p>
            <w:pPr>
              <w:spacing w:line="360" w:lineRule="auto"/>
              <w:jc w:val="center"/>
              <w:rPr>
                <w:rFonts w:ascii="宋体" w:cs="宋体"/>
                <w:szCs w:val="24"/>
              </w:rPr>
            </w:pPr>
            <w:r>
              <w:rPr>
                <w:rFonts w:hint="eastAsia" w:ascii="宋体" w:cs="宋体"/>
                <w:szCs w:val="24"/>
              </w:rPr>
              <w:t>五、定价结算</w:t>
            </w:r>
          </w:p>
        </w:tc>
        <w:tc>
          <w:tcPr>
            <w:tcW w:w="1011" w:type="dxa"/>
            <w:noWrap/>
            <w:vAlign w:val="center"/>
          </w:tcPr>
          <w:p>
            <w:pPr>
              <w:spacing w:line="360" w:lineRule="auto"/>
              <w:jc w:val="center"/>
              <w:rPr>
                <w:rFonts w:ascii="宋体" w:cs="宋体"/>
                <w:szCs w:val="24"/>
              </w:rPr>
            </w:pPr>
            <w:r>
              <w:rPr>
                <w:rFonts w:hint="eastAsia" w:ascii="宋体" w:cs="宋体"/>
                <w:szCs w:val="24"/>
              </w:rPr>
              <w:t>10</w:t>
            </w:r>
          </w:p>
        </w:tc>
        <w:tc>
          <w:tcPr>
            <w:tcW w:w="5084" w:type="dxa"/>
            <w:noWrap/>
            <w:vAlign w:val="center"/>
          </w:tcPr>
          <w:p>
            <w:pPr>
              <w:spacing w:line="360" w:lineRule="auto"/>
              <w:rPr>
                <w:rFonts w:ascii="宋体" w:cs="宋体"/>
                <w:szCs w:val="24"/>
              </w:rPr>
            </w:pPr>
            <w:r>
              <w:rPr>
                <w:rFonts w:hint="eastAsia" w:ascii="宋体" w:cs="宋体"/>
                <w:szCs w:val="24"/>
              </w:rPr>
              <w:t>1、中标人必须按照合同约定及时按照上述定价方式进行报价，发现不按时报价或报价有虚报、误报的，发现第一次扣1分，第二次扣3分，第三次扣5分，第四次及以上依次按照2分递增。</w:t>
            </w:r>
          </w:p>
          <w:p>
            <w:pPr>
              <w:spacing w:line="360" w:lineRule="auto"/>
              <w:rPr>
                <w:rFonts w:ascii="宋体" w:cs="宋体"/>
                <w:szCs w:val="24"/>
              </w:rPr>
            </w:pPr>
            <w:r>
              <w:rPr>
                <w:rFonts w:hint="eastAsia" w:ascii="宋体" w:cs="宋体"/>
                <w:szCs w:val="24"/>
              </w:rPr>
              <w:t>2、中标人必须及时提供各种验收、结算票据，按规定时间完成结算报销手续，超过5个工作日的扣1分，超过6至10个工作日的扣3分，超过10个工作日以上的扣5分并约谈中标人法人代表或授权代表人。</w:t>
            </w:r>
          </w:p>
        </w:tc>
        <w:tc>
          <w:tcPr>
            <w:tcW w:w="758" w:type="dxa"/>
            <w:noWrap/>
            <w:vAlign w:val="center"/>
          </w:tcPr>
          <w:p>
            <w:pPr>
              <w:spacing w:line="360" w:lineRule="auto"/>
              <w:jc w:val="center"/>
              <w:rPr>
                <w:rFonts w:ascii="宋体" w:cs="宋体"/>
                <w:szCs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1669" w:type="dxa"/>
            <w:noWrap/>
            <w:vAlign w:val="center"/>
          </w:tcPr>
          <w:p>
            <w:pPr>
              <w:spacing w:line="360" w:lineRule="auto"/>
              <w:jc w:val="center"/>
              <w:rPr>
                <w:rFonts w:ascii="宋体" w:cs="宋体"/>
                <w:szCs w:val="24"/>
              </w:rPr>
            </w:pPr>
            <w:r>
              <w:rPr>
                <w:rFonts w:hint="eastAsia" w:ascii="宋体" w:cs="宋体"/>
                <w:szCs w:val="24"/>
              </w:rPr>
              <w:t>六、售后服务</w:t>
            </w:r>
          </w:p>
        </w:tc>
        <w:tc>
          <w:tcPr>
            <w:tcW w:w="1011" w:type="dxa"/>
            <w:noWrap/>
            <w:vAlign w:val="center"/>
          </w:tcPr>
          <w:p>
            <w:pPr>
              <w:spacing w:line="360" w:lineRule="auto"/>
              <w:jc w:val="center"/>
              <w:rPr>
                <w:rFonts w:ascii="宋体" w:cs="宋体"/>
                <w:szCs w:val="24"/>
              </w:rPr>
            </w:pPr>
            <w:r>
              <w:rPr>
                <w:rFonts w:hint="eastAsia" w:ascii="宋体" w:cs="宋体"/>
                <w:szCs w:val="24"/>
              </w:rPr>
              <w:t>10</w:t>
            </w:r>
          </w:p>
        </w:tc>
        <w:tc>
          <w:tcPr>
            <w:tcW w:w="5084" w:type="dxa"/>
            <w:noWrap/>
            <w:vAlign w:val="center"/>
          </w:tcPr>
          <w:p>
            <w:pPr>
              <w:spacing w:line="360" w:lineRule="auto"/>
              <w:rPr>
                <w:rFonts w:ascii="宋体" w:cs="宋体"/>
                <w:szCs w:val="24"/>
              </w:rPr>
            </w:pPr>
            <w:r>
              <w:rPr>
                <w:rFonts w:hint="eastAsia" w:ascii="宋体" w:cs="宋体"/>
                <w:szCs w:val="24"/>
              </w:rPr>
              <w:t>供货期间，中标人管理层应主动与采购人联系、及时处理问题、每周定期回访。因中标人原因没有每周回访和及时处理问题的，每出现一次扣2.5分。</w:t>
            </w:r>
          </w:p>
        </w:tc>
        <w:tc>
          <w:tcPr>
            <w:tcW w:w="758" w:type="dxa"/>
            <w:noWrap/>
            <w:vAlign w:val="center"/>
          </w:tcPr>
          <w:p>
            <w:pPr>
              <w:spacing w:line="360" w:lineRule="auto"/>
              <w:jc w:val="center"/>
              <w:rPr>
                <w:rFonts w:ascii="宋体" w:cs="宋体"/>
                <w:szCs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1669" w:type="dxa"/>
            <w:noWrap/>
            <w:vAlign w:val="center"/>
          </w:tcPr>
          <w:p>
            <w:pPr>
              <w:spacing w:line="360" w:lineRule="auto"/>
              <w:jc w:val="center"/>
              <w:rPr>
                <w:rFonts w:ascii="宋体" w:cs="宋体"/>
                <w:szCs w:val="24"/>
              </w:rPr>
            </w:pPr>
            <w:r>
              <w:rPr>
                <w:rFonts w:hint="eastAsia" w:ascii="宋体" w:cs="宋体"/>
                <w:szCs w:val="24"/>
              </w:rPr>
              <w:t>七、其他服务</w:t>
            </w:r>
          </w:p>
        </w:tc>
        <w:tc>
          <w:tcPr>
            <w:tcW w:w="1011" w:type="dxa"/>
            <w:noWrap/>
            <w:vAlign w:val="center"/>
          </w:tcPr>
          <w:p>
            <w:pPr>
              <w:spacing w:line="360" w:lineRule="auto"/>
              <w:jc w:val="center"/>
              <w:rPr>
                <w:rFonts w:ascii="宋体" w:cs="宋体"/>
                <w:szCs w:val="24"/>
              </w:rPr>
            </w:pPr>
            <w:r>
              <w:rPr>
                <w:rFonts w:hint="eastAsia" w:ascii="宋体" w:cs="宋体"/>
                <w:szCs w:val="24"/>
              </w:rPr>
              <w:t>10(加分项)</w:t>
            </w:r>
          </w:p>
        </w:tc>
        <w:tc>
          <w:tcPr>
            <w:tcW w:w="5084" w:type="dxa"/>
            <w:noWrap/>
            <w:vAlign w:val="center"/>
          </w:tcPr>
          <w:p>
            <w:pPr>
              <w:spacing w:line="360" w:lineRule="auto"/>
              <w:rPr>
                <w:rFonts w:ascii="宋体" w:cs="宋体"/>
                <w:szCs w:val="24"/>
              </w:rPr>
            </w:pPr>
            <w:r>
              <w:rPr>
                <w:rFonts w:hint="eastAsia" w:ascii="宋体" w:cs="宋体"/>
                <w:szCs w:val="24"/>
              </w:rPr>
              <w:t>中标人能够及时为采购人提供价格优惠、品质优良、安全有保障的原材料使用合理化建议和意见，并被采购人采纳一次的，第一次加1分，第二次加2分，第三次及以上加4分，累计加分最高不超过10分。</w:t>
            </w:r>
          </w:p>
        </w:tc>
        <w:tc>
          <w:tcPr>
            <w:tcW w:w="758" w:type="dxa"/>
            <w:noWrap/>
            <w:vAlign w:val="center"/>
          </w:tcPr>
          <w:p>
            <w:pPr>
              <w:spacing w:line="360" w:lineRule="auto"/>
              <w:jc w:val="center"/>
              <w:rPr>
                <w:rFonts w:ascii="宋体" w:cs="宋体"/>
                <w:szCs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2680" w:type="dxa"/>
            <w:gridSpan w:val="2"/>
            <w:noWrap/>
            <w:vAlign w:val="center"/>
          </w:tcPr>
          <w:p>
            <w:pPr>
              <w:spacing w:line="360" w:lineRule="auto"/>
              <w:jc w:val="center"/>
              <w:rPr>
                <w:rFonts w:ascii="宋体" w:cs="宋体"/>
                <w:szCs w:val="24"/>
              </w:rPr>
            </w:pPr>
            <w:r>
              <w:rPr>
                <w:rFonts w:hint="eastAsia" w:ascii="宋体" w:cs="宋体"/>
                <w:szCs w:val="24"/>
              </w:rPr>
              <w:t>总分</w:t>
            </w:r>
          </w:p>
        </w:tc>
        <w:tc>
          <w:tcPr>
            <w:tcW w:w="5842" w:type="dxa"/>
            <w:gridSpan w:val="2"/>
            <w:noWrap/>
            <w:vAlign w:val="center"/>
          </w:tcPr>
          <w:p>
            <w:pPr>
              <w:spacing w:line="360" w:lineRule="auto"/>
              <w:jc w:val="center"/>
              <w:rPr>
                <w:rFonts w:ascii="宋体" w:cs="宋体"/>
                <w:szCs w:val="24"/>
              </w:rPr>
            </w:pPr>
            <w:r>
              <w:rPr>
                <w:rFonts w:hint="eastAsia" w:ascii="宋体" w:cs="宋体"/>
                <w:szCs w:val="24"/>
              </w:rPr>
              <w:t>100分-扣分+加分=总分</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8522" w:type="dxa"/>
            <w:gridSpan w:val="4"/>
            <w:noWrap/>
            <w:vAlign w:val="center"/>
          </w:tcPr>
          <w:p>
            <w:pPr>
              <w:spacing w:line="360" w:lineRule="auto"/>
              <w:jc w:val="left"/>
              <w:rPr>
                <w:rFonts w:ascii="宋体" w:cs="宋体"/>
                <w:szCs w:val="24"/>
              </w:rPr>
            </w:pPr>
            <w:r>
              <w:rPr>
                <w:rFonts w:hint="eastAsia" w:ascii="宋体" w:cs="宋体"/>
                <w:szCs w:val="24"/>
              </w:rPr>
              <w:t>说明：90分及以上为优秀，80分至89分为良好，70分至79分为及格，70（不含）分以下为不及格。</w:t>
            </w:r>
          </w:p>
        </w:tc>
      </w:tr>
    </w:tbl>
    <w:p>
      <w:pPr>
        <w:tabs>
          <w:tab w:val="left" w:pos="525"/>
          <w:tab w:val="left" w:pos="846"/>
        </w:tabs>
        <w:autoSpaceDE w:val="0"/>
        <w:autoSpaceDN w:val="0"/>
        <w:adjustRightInd w:val="0"/>
        <w:spacing w:line="360" w:lineRule="auto"/>
        <w:ind w:left="420" w:hanging="420"/>
        <w:outlineLvl w:val="1"/>
        <w:rPr>
          <w:rFonts w:ascii="宋体" w:cs="宋体"/>
          <w:b/>
          <w:bCs/>
          <w:szCs w:val="24"/>
        </w:rPr>
      </w:pPr>
    </w:p>
    <w:p>
      <w:pPr>
        <w:tabs>
          <w:tab w:val="left" w:pos="525"/>
          <w:tab w:val="left" w:pos="846"/>
        </w:tabs>
        <w:autoSpaceDE w:val="0"/>
        <w:autoSpaceDN w:val="0"/>
        <w:adjustRightInd w:val="0"/>
        <w:spacing w:line="360" w:lineRule="auto"/>
        <w:ind w:left="420" w:hanging="420"/>
        <w:outlineLvl w:val="1"/>
        <w:rPr>
          <w:rFonts w:ascii="宋体" w:cs="宋体"/>
          <w:b/>
          <w:bCs/>
          <w:szCs w:val="24"/>
        </w:rPr>
      </w:pPr>
      <w:r>
        <w:rPr>
          <w:rFonts w:hint="eastAsia" w:ascii="宋体" w:cs="宋体"/>
          <w:b/>
          <w:bCs/>
          <w:szCs w:val="24"/>
        </w:rPr>
        <w:t>十二、其他服务要求</w:t>
      </w:r>
    </w:p>
    <w:p>
      <w:pPr>
        <w:spacing w:line="360" w:lineRule="auto"/>
        <w:ind w:firstLine="484" w:firstLineChars="202"/>
        <w:rPr>
          <w:rFonts w:ascii="宋体" w:cs="宋体"/>
          <w:szCs w:val="24"/>
        </w:rPr>
      </w:pPr>
      <w:r>
        <w:rPr>
          <w:rFonts w:hint="eastAsia" w:ascii="宋体" w:cs="宋体"/>
          <w:szCs w:val="24"/>
        </w:rPr>
        <w:t>1、现场沟通管理机制</w:t>
      </w:r>
    </w:p>
    <w:p>
      <w:pPr>
        <w:spacing w:line="360" w:lineRule="auto"/>
        <w:ind w:firstLine="484" w:firstLineChars="202"/>
        <w:rPr>
          <w:rFonts w:ascii="宋体" w:cs="宋体"/>
          <w:szCs w:val="24"/>
        </w:rPr>
      </w:pPr>
      <w:r>
        <w:rPr>
          <w:rFonts w:hint="eastAsia" w:ascii="宋体" w:cs="宋体"/>
          <w:szCs w:val="24"/>
        </w:rPr>
        <w:t>中标人须建立完善的现场沟通机制及相应的对接流程，完善的内部沟通反馈渠道。形成定期沟通的机制，以及在近期情况下的沟通流程和步骤。</w:t>
      </w:r>
    </w:p>
    <w:p>
      <w:pPr>
        <w:spacing w:line="360" w:lineRule="auto"/>
        <w:ind w:firstLine="484" w:firstLineChars="202"/>
        <w:rPr>
          <w:rFonts w:ascii="宋体" w:cs="宋体"/>
          <w:szCs w:val="24"/>
        </w:rPr>
      </w:pPr>
      <w:r>
        <w:rPr>
          <w:rFonts w:hint="eastAsia" w:ascii="宋体" w:cs="宋体"/>
          <w:szCs w:val="24"/>
        </w:rPr>
        <w:t>2、应急预案机制</w:t>
      </w:r>
    </w:p>
    <w:p>
      <w:pPr>
        <w:pStyle w:val="75"/>
        <w:spacing w:line="360" w:lineRule="auto"/>
        <w:ind w:firstLine="480" w:firstLineChars="200"/>
        <w:rPr>
          <w:rFonts w:ascii="宋体" w:cs="宋体"/>
          <w:kern w:val="2"/>
          <w:sz w:val="24"/>
          <w:szCs w:val="24"/>
        </w:rPr>
      </w:pPr>
      <w:r>
        <w:rPr>
          <w:rFonts w:hint="eastAsia" w:ascii="宋体" w:cs="宋体"/>
          <w:kern w:val="2"/>
          <w:sz w:val="24"/>
          <w:szCs w:val="24"/>
        </w:rPr>
        <w:t>（1）临时应急加急采购货物的时限要求</w:t>
      </w:r>
    </w:p>
    <w:p>
      <w:pPr>
        <w:pStyle w:val="75"/>
        <w:spacing w:line="360" w:lineRule="auto"/>
        <w:ind w:firstLine="480" w:firstLineChars="200"/>
        <w:rPr>
          <w:rFonts w:ascii="宋体" w:cs="宋体"/>
          <w:kern w:val="2"/>
          <w:sz w:val="24"/>
          <w:szCs w:val="24"/>
        </w:rPr>
      </w:pPr>
      <w:r>
        <w:rPr>
          <w:rFonts w:hint="eastAsia" w:ascii="宋体" w:cs="宋体"/>
          <w:kern w:val="2"/>
          <w:sz w:val="24"/>
          <w:szCs w:val="24"/>
        </w:rPr>
        <w:t>鉴于采购人临时应急加急采购的紧急需求，中标人须承诺对采购人的应急执行供货要求，须随订随送，在接到应急采购通知后须马上响应，货物须在30分钟内送达采购人指定地方。特殊情况下如发生临时应急加急配送服务（包含但不限于节假日、活动及突发事件等情况发生加急配送的），中标人须为采购人增加配送服务的次数，以及随订随送的服务。</w:t>
      </w:r>
    </w:p>
    <w:p>
      <w:pPr>
        <w:pStyle w:val="75"/>
        <w:spacing w:line="360" w:lineRule="auto"/>
        <w:ind w:firstLine="480" w:firstLineChars="200"/>
        <w:rPr>
          <w:rFonts w:ascii="宋体" w:cs="宋体"/>
          <w:kern w:val="2"/>
          <w:sz w:val="24"/>
          <w:szCs w:val="24"/>
        </w:rPr>
      </w:pPr>
      <w:r>
        <w:rPr>
          <w:rFonts w:hint="eastAsia" w:ascii="宋体" w:cs="宋体"/>
          <w:kern w:val="2"/>
          <w:sz w:val="24"/>
          <w:szCs w:val="24"/>
        </w:rPr>
        <w:t>（2）临时应急加急采购要求</w:t>
      </w:r>
    </w:p>
    <w:p>
      <w:pPr>
        <w:pStyle w:val="75"/>
        <w:spacing w:line="360" w:lineRule="auto"/>
        <w:ind w:firstLine="480" w:firstLineChars="200"/>
        <w:jc w:val="both"/>
        <w:rPr>
          <w:rFonts w:ascii="宋体" w:cs="宋体"/>
          <w:kern w:val="2"/>
          <w:sz w:val="24"/>
          <w:szCs w:val="24"/>
        </w:rPr>
      </w:pPr>
      <w:r>
        <w:rPr>
          <w:rFonts w:hint="eastAsia" w:ascii="宋体" w:cs="宋体"/>
          <w:kern w:val="2"/>
          <w:sz w:val="24"/>
          <w:szCs w:val="24"/>
        </w:rPr>
        <w:t>投标人须针对本项目具有特殊突发情况的应急方案，应包括但不限于项目执行过程中食物中毒、食品质量问题、采购人临时补货、增加采购数量、额外采购计划外的产品品种、配送车辆交通事故或路上故障、加工时停水（停电）应急处理等突发事情的处理方案、应急响应人员安排。</w:t>
      </w:r>
    </w:p>
    <w:p>
      <w:pPr>
        <w:pStyle w:val="75"/>
        <w:spacing w:line="360" w:lineRule="auto"/>
        <w:ind w:firstLine="480" w:firstLineChars="200"/>
        <w:jc w:val="both"/>
        <w:rPr>
          <w:rFonts w:ascii="宋体" w:cs="宋体"/>
          <w:kern w:val="2"/>
          <w:sz w:val="24"/>
          <w:szCs w:val="24"/>
        </w:rPr>
      </w:pPr>
      <w:r>
        <w:rPr>
          <w:rFonts w:hint="eastAsia" w:ascii="宋体" w:cs="宋体"/>
          <w:kern w:val="2"/>
          <w:sz w:val="24"/>
          <w:szCs w:val="24"/>
        </w:rPr>
        <w:t>3、协作开展各种节假日活动</w:t>
      </w:r>
    </w:p>
    <w:p>
      <w:pPr>
        <w:pStyle w:val="75"/>
        <w:spacing w:line="360" w:lineRule="auto"/>
        <w:ind w:firstLine="480" w:firstLineChars="200"/>
        <w:jc w:val="both"/>
        <w:rPr>
          <w:rFonts w:ascii="宋体" w:cs="宋体"/>
          <w:kern w:val="2"/>
          <w:sz w:val="24"/>
          <w:szCs w:val="24"/>
        </w:rPr>
      </w:pPr>
      <w:r>
        <w:rPr>
          <w:rFonts w:hint="eastAsia" w:ascii="宋体" w:cs="宋体"/>
          <w:kern w:val="2"/>
          <w:sz w:val="24"/>
          <w:szCs w:val="24"/>
        </w:rPr>
        <w:t>中标人于春节、端午节、中秋节、国庆节等节假日需配合采购人提供具有节日特色的节日活动，配合供应具备节日特色的产品。</w:t>
      </w:r>
    </w:p>
    <w:p>
      <w:pPr>
        <w:pStyle w:val="75"/>
        <w:spacing w:line="360" w:lineRule="auto"/>
        <w:ind w:firstLine="480" w:firstLineChars="200"/>
        <w:jc w:val="both"/>
        <w:rPr>
          <w:rFonts w:ascii="宋体" w:cs="宋体"/>
          <w:kern w:val="2"/>
          <w:sz w:val="24"/>
          <w:szCs w:val="24"/>
        </w:rPr>
      </w:pPr>
      <w:r>
        <w:rPr>
          <w:rFonts w:hint="eastAsia" w:ascii="宋体" w:cs="宋体"/>
          <w:kern w:val="2"/>
          <w:sz w:val="24"/>
          <w:szCs w:val="24"/>
        </w:rPr>
        <w:t>4、食品安全责任险</w:t>
      </w:r>
    </w:p>
    <w:p>
      <w:pPr>
        <w:pStyle w:val="75"/>
        <w:spacing w:line="360" w:lineRule="auto"/>
        <w:ind w:firstLine="480" w:firstLineChars="200"/>
        <w:jc w:val="both"/>
        <w:rPr>
          <w:rFonts w:hint="eastAsia" w:ascii="宋体" w:cs="宋体"/>
          <w:kern w:val="2"/>
          <w:sz w:val="24"/>
          <w:szCs w:val="24"/>
        </w:rPr>
      </w:pPr>
      <w:r>
        <w:rPr>
          <w:rFonts w:hint="eastAsia" w:ascii="宋体" w:cs="宋体"/>
          <w:kern w:val="2"/>
          <w:sz w:val="24"/>
          <w:szCs w:val="24"/>
        </w:rPr>
        <w:t>投标人应购买食品安全责任保险，确保在食材采购、存储、配送、供应过程中发生了财产人身安全责任事故的情况下，具备一定的风险抵御能力和偿付能力。投标人购买的保险在保险期限上应与该项目服务合同期限相匹配。</w:t>
      </w:r>
    </w:p>
    <w:p>
      <w:pPr>
        <w:pStyle w:val="75"/>
        <w:spacing w:line="360" w:lineRule="auto"/>
        <w:ind w:firstLine="480" w:firstLineChars="200"/>
        <w:jc w:val="both"/>
        <w:rPr>
          <w:rFonts w:hint="eastAsia" w:ascii="宋体" w:cs="宋体"/>
          <w:kern w:val="2"/>
          <w:sz w:val="24"/>
          <w:szCs w:val="24"/>
        </w:rPr>
      </w:pPr>
    </w:p>
    <w:p>
      <w:pPr>
        <w:jc w:val="center"/>
        <w:rPr>
          <w:b/>
          <w:sz w:val="24"/>
        </w:rPr>
      </w:pPr>
      <w:r>
        <w:rPr>
          <w:rFonts w:hint="eastAsia"/>
          <w:b/>
          <w:sz w:val="24"/>
          <w:lang w:val="en-US" w:eastAsia="zh-CN"/>
        </w:rPr>
        <w:t>附件：</w:t>
      </w:r>
      <w:r>
        <w:rPr>
          <w:b/>
          <w:sz w:val="24"/>
        </w:rPr>
        <w:t>异常低价审查</w:t>
      </w:r>
    </w:p>
    <w:p>
      <w:pPr>
        <w:ind w:firstLine="480" w:firstLineChars="200"/>
        <w:rPr>
          <w:rFonts w:hint="eastAsia"/>
        </w:rPr>
      </w:pP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pPr>
      <w:r>
        <w:rPr>
          <w:rFonts w:hint="eastAsia"/>
        </w:rPr>
        <w:t>根据财政部2026年1月14日发布的《关于推动解决政府采购异常低价问题的通知》规定，本项目将对投标人的异常低价进行审查。</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pPr>
      <w:r>
        <w:rPr>
          <w:rFonts w:hint="eastAsia"/>
        </w:rPr>
        <w:t>（一）如投标人报价中出现下列情形之一的，评审委员会应当启动异常低价投标（响应）审查程序：</w:t>
      </w:r>
    </w:p>
    <w:p>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rPr>
      </w:pPr>
      <w:r>
        <w:rPr>
          <w:rFonts w:hint="eastAsia"/>
        </w:rPr>
        <w:t>1.投标（响应）报价低于全部通过符合性审查供应商投标（响应）报价平均值50%的，即投标（响应）报价&lt;全部通过符合性审查供应商投标（响应）报价平均值×50%；</w:t>
      </w:r>
    </w:p>
    <w:p>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rPr>
      </w:pPr>
      <w:r>
        <w:rPr>
          <w:rFonts w:hint="eastAsia"/>
        </w:rPr>
        <w:t>2.投标（响应）报价低于通过符合性审查的次低报价供应商投标（响应）报价50%的，即投标（响应）报价&lt;通过符合性审查的次低报价供应商投标（响应）报价×50%；</w:t>
      </w:r>
    </w:p>
    <w:p>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rPr>
      </w:pPr>
      <w:r>
        <w:rPr>
          <w:rFonts w:hint="eastAsia"/>
        </w:rPr>
        <w:t>3.投标（响应）报价低于采购项目最高限价45%的，即投标（响应）报价&lt;采购项目最高限价×45%；</w:t>
      </w:r>
    </w:p>
    <w:p>
      <w:pPr>
        <w:keepNext w:val="0"/>
        <w:keepLines w:val="0"/>
        <w:pageBreakBefore w:val="0"/>
        <w:widowControl w:val="0"/>
        <w:kinsoku/>
        <w:wordWrap/>
        <w:overflowPunct/>
        <w:topLinePunct w:val="0"/>
        <w:autoSpaceDE/>
        <w:autoSpaceDN/>
        <w:bidi w:val="0"/>
        <w:adjustRightInd/>
        <w:snapToGrid/>
        <w:spacing w:line="360" w:lineRule="auto"/>
        <w:textAlignment w:val="auto"/>
      </w:pPr>
      <w:r>
        <w:rPr>
          <w:rFonts w:hint="eastAsia"/>
        </w:rPr>
        <w:t>4.评审委员会基于专业判断，认为供应商报价过低，有可能影响产品质量或者不能诚信履约的其他情形。</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rPr>
      </w:pPr>
      <w:r>
        <w:rPr>
          <w:rFonts w:hint="eastAsia"/>
        </w:rPr>
        <w:t>（二）评审委员会启动异常低价投标（响应）审查后，属于前述第1项至第4项情形的，应当要求相关供应商在评审现场合理的时间内对投标（响应）价格作出解释，提供项目具体成本测算等与报价合理性相关的书面说明及必要的证明材料，包括但不限于原材料成本、人工成本、制造费用等，给予相关供应商的合理时间一般不少于30分钟。其中，属于第3项情形，供应商已随投标（响应）文件一并提交相关书面说明及必要的证明材料的，在评审现场可不再重复提交。评审委员会依据专业经验，参考同类项目中标（成交）价格、类似产品市场价格水平、行业人工费用标准、国家有关部门指导行业协会发布的行业平均成本等情况，对报价合理性进行判断。投标（响应）供应商不能提供书面说明、证明材料，或者提供的书面说明、证明材料不能证明其报价合理性的，评审委员会应当将其作为无效投标（响应）处理。</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rPr>
      </w:pPr>
      <w:r>
        <w:rPr>
          <w:rFonts w:hint="eastAsia"/>
        </w:rPr>
        <w:t>异常低价投标(响应)审查的启动原因、审查意见和审查结果应当在评审报告中记录，并随供应商提供的相关书面说明及证明材料，以及评审委员会有关互联网浏览、查询历史一并归档。</w:t>
      </w:r>
    </w:p>
    <w:p>
      <w:pPr>
        <w:pStyle w:val="75"/>
        <w:spacing w:line="360" w:lineRule="auto"/>
        <w:ind w:firstLine="480" w:firstLineChars="200"/>
        <w:jc w:val="both"/>
        <w:rPr>
          <w:rFonts w:hint="eastAsia" w:ascii="宋体" w:cs="宋体"/>
          <w:kern w:val="2"/>
          <w:sz w:val="24"/>
          <w:szCs w:val="24"/>
        </w:rPr>
      </w:pPr>
    </w:p>
    <w:p>
      <w:pPr>
        <w:spacing w:line="360" w:lineRule="auto"/>
        <w:ind w:firstLine="484" w:firstLineChars="202"/>
        <w:rPr>
          <w:rFonts w:ascii="宋体" w:cs="宋体"/>
          <w:szCs w:val="24"/>
        </w:rPr>
        <w:sectPr>
          <w:footerReference r:id="rId7" w:type="default"/>
          <w:footerReference r:id="rId8" w:type="even"/>
          <w:pgSz w:w="11906" w:h="16838"/>
          <w:pgMar w:top="1440" w:right="1800" w:bottom="1440" w:left="1800" w:header="851" w:footer="992" w:gutter="0"/>
          <w:pgNumType w:start="1"/>
          <w:cols w:space="720" w:num="1"/>
          <w:docGrid w:linePitch="312" w:charSpace="0"/>
        </w:sectPr>
      </w:pPr>
    </w:p>
    <w:p>
      <w:pPr>
        <w:spacing w:line="360" w:lineRule="auto"/>
        <w:rPr>
          <w:rFonts w:ascii="宋体" w:cs="宋体"/>
          <w:b/>
          <w:sz w:val="48"/>
        </w:rPr>
      </w:pPr>
    </w:p>
    <w:p>
      <w:pPr>
        <w:pStyle w:val="75"/>
        <w:jc w:val="center"/>
        <w:rPr>
          <w:rFonts w:ascii="宋体" w:cs="宋体"/>
          <w:b/>
          <w:sz w:val="48"/>
        </w:rPr>
      </w:pPr>
      <w:r>
        <w:rPr>
          <w:rFonts w:ascii="宋体" w:cs="宋体"/>
          <w:b/>
          <w:sz w:val="48"/>
        </w:rPr>
        <w:t>第三章 合同格式</w:t>
      </w:r>
    </w:p>
    <w:p>
      <w:pPr>
        <w:pStyle w:val="12"/>
        <w:spacing w:line="360" w:lineRule="auto"/>
        <w:rPr>
          <w:b/>
          <w:bCs/>
          <w:sz w:val="44"/>
          <w:szCs w:val="44"/>
        </w:rPr>
      </w:pPr>
    </w:p>
    <w:p>
      <w:pPr>
        <w:pStyle w:val="12"/>
        <w:spacing w:line="360" w:lineRule="auto"/>
        <w:rPr>
          <w:b/>
          <w:bCs/>
          <w:sz w:val="44"/>
          <w:szCs w:val="44"/>
        </w:rPr>
      </w:pPr>
    </w:p>
    <w:p>
      <w:pPr>
        <w:snapToGrid w:val="0"/>
        <w:spacing w:line="360" w:lineRule="auto"/>
        <w:ind w:firstLine="883" w:firstLineChars="200"/>
        <w:rPr>
          <w:rFonts w:hint="eastAsia" w:ascii="宋体"/>
          <w:b/>
          <w:bCs/>
          <w:sz w:val="44"/>
          <w:szCs w:val="44"/>
        </w:rPr>
      </w:pPr>
      <w:r>
        <w:rPr>
          <w:rFonts w:hint="eastAsia" w:ascii="宋体"/>
          <w:b/>
          <w:bCs/>
          <w:sz w:val="44"/>
          <w:szCs w:val="44"/>
        </w:rPr>
        <w:t>广州海关食堂食材配送服务项目合同</w:t>
      </w:r>
    </w:p>
    <w:p>
      <w:pPr>
        <w:snapToGrid w:val="0"/>
        <w:spacing w:line="360" w:lineRule="auto"/>
        <w:ind w:firstLine="883" w:firstLineChars="200"/>
        <w:rPr>
          <w:rFonts w:hint="eastAsia" w:ascii="宋体"/>
          <w:b/>
          <w:bCs/>
          <w:sz w:val="44"/>
          <w:szCs w:val="44"/>
          <w:lang w:eastAsia="zh-CN"/>
        </w:rPr>
      </w:pPr>
    </w:p>
    <w:p>
      <w:pPr>
        <w:snapToGrid w:val="0"/>
        <w:spacing w:line="360" w:lineRule="auto"/>
        <w:ind w:firstLine="480" w:firstLineChars="200"/>
        <w:jc w:val="center"/>
        <w:rPr>
          <w:rFonts w:hint="eastAsia" w:ascii="宋体" w:eastAsia="宋体"/>
          <w:b w:val="0"/>
          <w:bCs w:val="0"/>
          <w:sz w:val="24"/>
          <w:szCs w:val="24"/>
          <w:lang w:eastAsia="zh-CN"/>
        </w:rPr>
      </w:pPr>
      <w:r>
        <w:rPr>
          <w:rFonts w:hint="eastAsia" w:ascii="宋体"/>
          <w:b w:val="0"/>
          <w:bCs w:val="0"/>
          <w:sz w:val="24"/>
          <w:szCs w:val="24"/>
          <w:lang w:eastAsia="zh-CN"/>
        </w:rPr>
        <w:t>（</w:t>
      </w:r>
      <w:r>
        <w:rPr>
          <w:rFonts w:hint="eastAsia" w:ascii="宋体"/>
          <w:b w:val="0"/>
          <w:bCs w:val="0"/>
          <w:sz w:val="24"/>
          <w:szCs w:val="24"/>
          <w:lang w:val="en-US" w:eastAsia="zh-CN"/>
        </w:rPr>
        <w:t>本合同为中小企业预留合同</w:t>
      </w:r>
      <w:r>
        <w:rPr>
          <w:rFonts w:hint="eastAsia" w:ascii="宋体"/>
          <w:b w:val="0"/>
          <w:bCs w:val="0"/>
          <w:sz w:val="24"/>
          <w:szCs w:val="24"/>
          <w:lang w:eastAsia="zh-CN"/>
        </w:rPr>
        <w:t>）</w:t>
      </w:r>
    </w:p>
    <w:p>
      <w:pPr>
        <w:snapToGrid w:val="0"/>
        <w:spacing w:line="360" w:lineRule="auto"/>
        <w:rPr>
          <w:rFonts w:ascii="宋体"/>
          <w:b/>
          <w:bCs/>
        </w:rPr>
      </w:pPr>
    </w:p>
    <w:p>
      <w:pPr>
        <w:snapToGrid w:val="0"/>
        <w:spacing w:line="360" w:lineRule="auto"/>
        <w:rPr>
          <w:rFonts w:ascii="宋体"/>
          <w:b/>
          <w:bCs/>
        </w:rPr>
      </w:pPr>
      <w:r>
        <w:rPr>
          <w:rFonts w:hint="eastAsia" w:ascii="宋体"/>
          <w:b/>
          <w:bCs/>
        </w:rPr>
        <w:t>甲 方：广州海关后勤管理中心      （以下简称甲方）</w:t>
      </w:r>
    </w:p>
    <w:p>
      <w:pPr>
        <w:snapToGrid w:val="0"/>
        <w:spacing w:line="360" w:lineRule="auto"/>
        <w:rPr>
          <w:rFonts w:ascii="宋体"/>
          <w:b/>
          <w:bCs/>
        </w:rPr>
      </w:pPr>
      <w:r>
        <w:rPr>
          <w:rFonts w:hint="eastAsia" w:ascii="宋体"/>
          <w:b/>
          <w:bCs/>
        </w:rPr>
        <w:t>乙 方：                          （以下简称乙方）</w:t>
      </w:r>
    </w:p>
    <w:p>
      <w:pPr>
        <w:snapToGrid w:val="0"/>
        <w:spacing w:line="360" w:lineRule="auto"/>
        <w:rPr>
          <w:rFonts w:ascii="宋体"/>
          <w:b/>
          <w:bCs/>
        </w:rPr>
      </w:pPr>
    </w:p>
    <w:p>
      <w:pPr>
        <w:snapToGrid w:val="0"/>
        <w:spacing w:line="360" w:lineRule="auto"/>
        <w:ind w:firstLine="480" w:firstLineChars="200"/>
        <w:rPr>
          <w:rFonts w:ascii="宋体"/>
        </w:rPr>
      </w:pPr>
      <w:r>
        <w:rPr>
          <w:rFonts w:hint="eastAsia" w:ascii="宋体"/>
        </w:rPr>
        <w:t>根据</w:t>
      </w:r>
      <w:r>
        <w:rPr>
          <w:color w:val="000000"/>
        </w:rPr>
        <w:t>《中华人民共和国政府采购法》、</w:t>
      </w:r>
      <w:r>
        <w:rPr>
          <w:rFonts w:hint="eastAsia" w:ascii="宋体"/>
        </w:rPr>
        <w:t>《中华人民共和国民法典》及有关法律法规的规定，甲乙双方本着平等自愿的原则，在明确双方责任、权利、义务的基础上，依据招标文件、投标文件及报价，经双方协商一致，签订本合同。</w:t>
      </w:r>
    </w:p>
    <w:p>
      <w:pPr>
        <w:numPr>
          <w:ilvl w:val="0"/>
          <w:numId w:val="3"/>
        </w:numPr>
        <w:tabs>
          <w:tab w:val="left" w:pos="525"/>
          <w:tab w:val="left" w:pos="704"/>
          <w:tab w:val="left" w:pos="846"/>
          <w:tab w:val="left" w:pos="3398"/>
        </w:tabs>
        <w:autoSpaceDE w:val="0"/>
        <w:autoSpaceDN w:val="0"/>
        <w:adjustRightInd w:val="0"/>
        <w:spacing w:before="156" w:line="360" w:lineRule="auto"/>
        <w:ind w:left="522" w:hanging="420"/>
        <w:outlineLvl w:val="1"/>
        <w:rPr>
          <w:rFonts w:ascii="宋体" w:cs="宋体"/>
          <w:b/>
          <w:bCs/>
        </w:rPr>
      </w:pPr>
      <w:r>
        <w:rPr>
          <w:rFonts w:hint="eastAsia" w:ascii="宋体" w:cs="宋体"/>
          <w:b/>
          <w:bCs/>
        </w:rPr>
        <w:t>服务内容</w:t>
      </w:r>
    </w:p>
    <w:p>
      <w:pPr>
        <w:pStyle w:val="24"/>
      </w:pPr>
      <w:r>
        <w:rPr>
          <w:rFonts w:hint="eastAsia"/>
          <w:color w:val="222222"/>
        </w:rPr>
        <w:t>中标折扣率：【】%</w:t>
      </w:r>
      <w:r>
        <w:rPr>
          <w:color w:val="222222"/>
        </w:rPr>
        <w:t>。</w:t>
      </w:r>
      <w:r>
        <w:rPr>
          <w:rFonts w:hint="eastAsia"/>
          <w:color w:val="222222"/>
        </w:rPr>
        <w:t>服务期限</w:t>
      </w:r>
      <w:r>
        <w:rPr>
          <w:rFonts w:hint="eastAsia"/>
          <w:shd w:val="clear" w:color="auto" w:fill="FFFFFF"/>
        </w:rPr>
        <w:t>自合同签订之日至2026年10月15日或至采购金额累计达到采购预算金额2000000元终止，先到者为准。</w:t>
      </w:r>
      <w:r>
        <w:rPr>
          <w:rFonts w:hint="eastAsia"/>
        </w:rPr>
        <w:t>向甲方提供粮油、调味品、干货、水果及奶制品类食材配送服务，具体服务内容详见本合同附件一《采购需求》。</w:t>
      </w:r>
    </w:p>
    <w:p>
      <w:pPr>
        <w:numPr>
          <w:ilvl w:val="0"/>
          <w:numId w:val="3"/>
        </w:numPr>
        <w:tabs>
          <w:tab w:val="left" w:pos="525"/>
          <w:tab w:val="left" w:pos="704"/>
          <w:tab w:val="left" w:pos="846"/>
          <w:tab w:val="left" w:pos="3398"/>
        </w:tabs>
        <w:autoSpaceDE w:val="0"/>
        <w:autoSpaceDN w:val="0"/>
        <w:adjustRightInd w:val="0"/>
        <w:spacing w:before="156" w:line="360" w:lineRule="auto"/>
        <w:ind w:left="522" w:hanging="420"/>
        <w:outlineLvl w:val="1"/>
        <w:rPr>
          <w:rFonts w:ascii="宋体" w:cs="宋体"/>
          <w:b/>
          <w:bCs/>
        </w:rPr>
      </w:pPr>
      <w:r>
        <w:rPr>
          <w:rFonts w:hint="eastAsia" w:ascii="宋体" w:cs="宋体"/>
          <w:b/>
          <w:bCs/>
        </w:rPr>
        <w:t>配送地点：</w:t>
      </w:r>
    </w:p>
    <w:p>
      <w:pPr>
        <w:spacing w:line="360" w:lineRule="auto"/>
        <w:ind w:firstLine="482" w:firstLineChars="201"/>
        <w:rPr>
          <w:rFonts w:ascii="宋体" w:cs="宋体"/>
        </w:rPr>
      </w:pPr>
      <w:r>
        <w:rPr>
          <w:rFonts w:hint="eastAsia" w:ascii="宋体" w:cs="宋体"/>
        </w:rPr>
        <w:t>1、广州海关机关大楼（广州市天河区花城大道83号、人数约800人）</w:t>
      </w:r>
    </w:p>
    <w:p>
      <w:pPr>
        <w:spacing w:line="360" w:lineRule="auto"/>
        <w:ind w:firstLine="482" w:firstLineChars="201"/>
        <w:rPr>
          <w:rFonts w:ascii="宋体" w:cs="宋体"/>
        </w:rPr>
      </w:pPr>
      <w:r>
        <w:rPr>
          <w:rFonts w:hint="eastAsia" w:ascii="宋体" w:cs="宋体"/>
        </w:rPr>
        <w:t>2、广州海关南办公区（广州市天河区花城大道66号、人数约1200人）</w:t>
      </w:r>
    </w:p>
    <w:p>
      <w:pPr>
        <w:spacing w:line="360" w:lineRule="auto"/>
        <w:ind w:firstLine="482" w:firstLineChars="201"/>
        <w:rPr>
          <w:rFonts w:ascii="宋体" w:cs="宋体"/>
        </w:rPr>
      </w:pPr>
      <w:r>
        <w:rPr>
          <w:rFonts w:hint="eastAsia" w:ascii="宋体" w:cs="宋体"/>
        </w:rPr>
        <w:t>3、海欣阁管理部（广州市天河区石牌西路88号、人数约500人）</w:t>
      </w:r>
    </w:p>
    <w:p>
      <w:pPr>
        <w:numPr>
          <w:ilvl w:val="0"/>
          <w:numId w:val="3"/>
        </w:numPr>
        <w:tabs>
          <w:tab w:val="left" w:pos="525"/>
          <w:tab w:val="left" w:pos="704"/>
          <w:tab w:val="left" w:pos="846"/>
          <w:tab w:val="left" w:pos="3398"/>
        </w:tabs>
        <w:autoSpaceDE w:val="0"/>
        <w:autoSpaceDN w:val="0"/>
        <w:adjustRightInd w:val="0"/>
        <w:spacing w:before="156" w:line="360" w:lineRule="auto"/>
        <w:ind w:left="522" w:hanging="420"/>
        <w:outlineLvl w:val="1"/>
        <w:rPr>
          <w:rFonts w:ascii="宋体" w:cs="宋体"/>
          <w:b/>
          <w:bCs/>
        </w:rPr>
      </w:pPr>
      <w:r>
        <w:rPr>
          <w:rFonts w:hint="eastAsia" w:ascii="宋体" w:cs="宋体"/>
          <w:b/>
          <w:bCs/>
        </w:rPr>
        <w:t>订货方式和配送时间</w:t>
      </w:r>
    </w:p>
    <w:p>
      <w:pPr>
        <w:spacing w:line="360" w:lineRule="auto"/>
        <w:ind w:firstLine="484" w:firstLineChars="202"/>
        <w:rPr>
          <w:rFonts w:ascii="宋体" w:cs="宋体"/>
        </w:rPr>
      </w:pPr>
      <w:r>
        <w:rPr>
          <w:rFonts w:hint="eastAsia" w:ascii="宋体" w:cs="宋体"/>
        </w:rPr>
        <w:t>1、乙方每日按照甲方要求分别进行配送（特殊情况除外），甲方以电话或网络通信方式向乙方下订单，订单内容包括食材的名称、规格、数量等，乙方须做好订单书面记录。乙方订货联系人：【】，订货电话：【】，订货邮箱：【】。</w:t>
      </w:r>
    </w:p>
    <w:p>
      <w:pPr>
        <w:spacing w:line="360" w:lineRule="auto"/>
        <w:ind w:firstLine="484" w:firstLineChars="202"/>
        <w:rPr>
          <w:rFonts w:ascii="宋体" w:cs="宋体"/>
        </w:rPr>
      </w:pPr>
      <w:r>
        <w:rPr>
          <w:rFonts w:hint="eastAsia" w:ascii="宋体" w:cs="宋体"/>
        </w:rPr>
        <w:t>2、乙方须在接到甲方订单之日的第二天7:00前（或与甲方约定的时间前）将甲方所订购的食材送至甲方指定地点。如果甲方临时改变订购的种类、规格、数量等，乙方须在接到通知后小时内送达，待甲方验收、核对后，配送才算完成。</w:t>
      </w:r>
    </w:p>
    <w:p>
      <w:pPr>
        <w:spacing w:line="360" w:lineRule="auto"/>
        <w:ind w:firstLine="484" w:firstLineChars="202"/>
        <w:rPr>
          <w:rFonts w:ascii="宋体" w:cs="宋体"/>
        </w:rPr>
      </w:pPr>
      <w:r>
        <w:rPr>
          <w:rFonts w:hint="eastAsia" w:ascii="宋体" w:cs="宋体"/>
        </w:rPr>
        <w:t>3、如乙方提供的食材不符合甲方要求，甲方有权退货，乙方必须在小时内予以退换补货。</w:t>
      </w:r>
    </w:p>
    <w:p>
      <w:pPr>
        <w:spacing w:line="360" w:lineRule="auto"/>
        <w:ind w:right="257" w:rightChars="107" w:firstLine="482" w:firstLineChars="201"/>
        <w:jc w:val="left"/>
        <w:rPr>
          <w:rFonts w:ascii="宋体" w:cs="宋体"/>
        </w:rPr>
      </w:pPr>
      <w:r>
        <w:rPr>
          <w:rFonts w:hint="eastAsia" w:ascii="宋体" w:cs="宋体"/>
        </w:rPr>
        <w:t>4、在合同执行过程中甲方可根据实际情况对需求进行调整，乙方在接到甲方通知后个小时内送达。</w:t>
      </w:r>
    </w:p>
    <w:p>
      <w:pPr>
        <w:spacing w:line="360" w:lineRule="auto"/>
        <w:ind w:firstLine="485"/>
        <w:rPr>
          <w:rFonts w:ascii="宋体" w:cs="宋体"/>
        </w:rPr>
      </w:pPr>
      <w:r>
        <w:rPr>
          <w:rFonts w:hint="eastAsia" w:ascii="宋体" w:cs="宋体"/>
        </w:rPr>
        <w:t>5、乙方除不可抗力因素外，不得因其他任何理由延迟送货。如遇特殊情况需推迟送货，应至少提前 通知甲方。</w:t>
      </w:r>
    </w:p>
    <w:p>
      <w:pPr>
        <w:spacing w:line="360" w:lineRule="auto"/>
        <w:ind w:firstLine="480" w:firstLineChars="200"/>
        <w:rPr>
          <w:rFonts w:ascii="宋体" w:hAnsi="宋体" w:cs="宋体"/>
          <w:b/>
          <w:bCs/>
        </w:rPr>
      </w:pPr>
      <w:r>
        <w:rPr>
          <w:rFonts w:hint="eastAsia" w:ascii="宋体" w:hAnsi="宋体" w:cs="宋体"/>
        </w:rPr>
        <w:t xml:space="preserve"> </w:t>
      </w:r>
      <w:r>
        <w:rPr>
          <w:rFonts w:hint="eastAsia" w:ascii="宋体" w:hAnsi="宋体" w:cs="宋体"/>
          <w:b/>
          <w:bCs/>
        </w:rPr>
        <w:t>6、因甲方临时所需的紧急配送需求，乙方在接到甲方通知后  分钟内完成配送。</w:t>
      </w:r>
    </w:p>
    <w:p>
      <w:pPr>
        <w:numPr>
          <w:ilvl w:val="0"/>
          <w:numId w:val="3"/>
        </w:numPr>
        <w:tabs>
          <w:tab w:val="left" w:pos="525"/>
          <w:tab w:val="left" w:pos="704"/>
          <w:tab w:val="left" w:pos="846"/>
          <w:tab w:val="left" w:pos="3398"/>
        </w:tabs>
        <w:autoSpaceDE w:val="0"/>
        <w:autoSpaceDN w:val="0"/>
        <w:adjustRightInd w:val="0"/>
        <w:spacing w:before="156" w:line="360" w:lineRule="auto"/>
        <w:ind w:left="522" w:hanging="420"/>
        <w:outlineLvl w:val="1"/>
        <w:rPr>
          <w:rFonts w:ascii="宋体" w:cs="宋体"/>
          <w:b/>
          <w:bCs/>
        </w:rPr>
      </w:pPr>
      <w:r>
        <w:rPr>
          <w:rFonts w:hint="eastAsia" w:ascii="宋体" w:cs="宋体"/>
          <w:b/>
          <w:bCs/>
        </w:rPr>
        <w:t>质量和数量要求</w:t>
      </w:r>
    </w:p>
    <w:p>
      <w:pPr>
        <w:snapToGrid w:val="0"/>
        <w:spacing w:line="360" w:lineRule="auto"/>
        <w:ind w:firstLine="480" w:firstLineChars="200"/>
        <w:rPr>
          <w:rFonts w:ascii="宋体"/>
        </w:rPr>
      </w:pPr>
      <w:r>
        <w:rPr>
          <w:rFonts w:hint="eastAsia" w:ascii="宋体" w:cs="宋体"/>
        </w:rPr>
        <w:t>1、质量要求：乙方向甲方所供食材必须符合《中华人民共和国食品安全法》要求，符合国家及行业对生产及经营的标准要求，货真价实，保持较好的外观和质量等级，保证无异味、无霉烂变质。</w:t>
      </w:r>
    </w:p>
    <w:p>
      <w:pPr>
        <w:snapToGrid w:val="0"/>
        <w:spacing w:line="360" w:lineRule="auto"/>
        <w:ind w:firstLine="480" w:firstLineChars="200"/>
        <w:rPr>
          <w:rFonts w:ascii="宋体" w:cs="宋体"/>
        </w:rPr>
      </w:pPr>
      <w:r>
        <w:rPr>
          <w:rFonts w:hint="eastAsia" w:ascii="宋体" w:cs="宋体"/>
        </w:rPr>
        <w:t>2、数量要求：</w:t>
      </w:r>
    </w:p>
    <w:p>
      <w:pPr>
        <w:spacing w:line="360" w:lineRule="auto"/>
        <w:ind w:firstLine="485"/>
        <w:rPr>
          <w:rFonts w:ascii="宋体" w:cs="宋体"/>
        </w:rPr>
      </w:pPr>
      <w:r>
        <w:rPr>
          <w:rFonts w:hint="eastAsia" w:ascii="宋体" w:cs="宋体"/>
        </w:rPr>
        <w:t>（1）乙方必须按甲方订单规定的交货时间、地点、数量，准确交货。</w:t>
      </w:r>
    </w:p>
    <w:p>
      <w:pPr>
        <w:spacing w:line="360" w:lineRule="auto"/>
        <w:ind w:firstLine="485"/>
        <w:rPr>
          <w:rFonts w:ascii="宋体" w:cs="宋体"/>
        </w:rPr>
      </w:pPr>
      <w:r>
        <w:rPr>
          <w:rFonts w:hint="eastAsia" w:ascii="宋体" w:cs="宋体"/>
        </w:rPr>
        <w:t>（2）乙方负责将所有食材配送到甲方指定的地点，食材经甲方当场验收质量和数量后，将订货单一并交于当日甲方指定的收货人员，由甲方主管人员、相关负责人员签名确认后，将作为有效结算单据。</w:t>
      </w:r>
    </w:p>
    <w:p>
      <w:pPr>
        <w:spacing w:line="360" w:lineRule="auto"/>
        <w:ind w:firstLine="485"/>
        <w:rPr>
          <w:rFonts w:ascii="宋体" w:cs="宋体"/>
        </w:rPr>
      </w:pPr>
      <w:r>
        <w:rPr>
          <w:rFonts w:hint="eastAsia" w:ascii="宋体" w:cs="宋体"/>
        </w:rPr>
        <w:t>（3）如需乙方分批交货，乙方也应按照订单所注明的送货时间、数量。</w:t>
      </w:r>
    </w:p>
    <w:p>
      <w:pPr>
        <w:spacing w:line="360" w:lineRule="auto"/>
        <w:ind w:firstLine="484" w:firstLineChars="202"/>
        <w:rPr>
          <w:rFonts w:ascii="宋体" w:cs="宋体"/>
        </w:rPr>
      </w:pPr>
      <w:r>
        <w:rPr>
          <w:rFonts w:hint="eastAsia" w:ascii="宋体" w:cs="宋体"/>
        </w:rPr>
        <w:t>3、其他质量、数量要求详见本合同附件一《采购需求》。</w:t>
      </w:r>
    </w:p>
    <w:p>
      <w:pPr>
        <w:numPr>
          <w:ilvl w:val="0"/>
          <w:numId w:val="3"/>
        </w:numPr>
        <w:tabs>
          <w:tab w:val="left" w:pos="525"/>
          <w:tab w:val="left" w:pos="704"/>
          <w:tab w:val="left" w:pos="846"/>
          <w:tab w:val="left" w:pos="3398"/>
        </w:tabs>
        <w:autoSpaceDE w:val="0"/>
        <w:autoSpaceDN w:val="0"/>
        <w:adjustRightInd w:val="0"/>
        <w:spacing w:before="156" w:line="360" w:lineRule="auto"/>
        <w:ind w:left="522" w:hanging="420"/>
        <w:outlineLvl w:val="1"/>
        <w:rPr>
          <w:rFonts w:ascii="宋体" w:cs="宋体"/>
          <w:b/>
          <w:bCs/>
        </w:rPr>
      </w:pPr>
      <w:r>
        <w:rPr>
          <w:rFonts w:hint="eastAsia" w:ascii="宋体" w:cs="宋体"/>
          <w:b/>
          <w:bCs/>
        </w:rPr>
        <w:t>价格确认</w:t>
      </w:r>
    </w:p>
    <w:p>
      <w:pPr>
        <w:spacing w:line="360" w:lineRule="auto"/>
        <w:ind w:firstLine="485"/>
        <w:rPr>
          <w:rFonts w:ascii="宋体"/>
        </w:rPr>
      </w:pPr>
      <w:r>
        <w:rPr>
          <w:rFonts w:hint="eastAsia" w:ascii="宋体"/>
        </w:rPr>
        <w:t>1、定价方式</w:t>
      </w:r>
    </w:p>
    <w:p>
      <w:pPr>
        <w:spacing w:line="360" w:lineRule="auto"/>
        <w:ind w:firstLine="484" w:firstLineChars="202"/>
        <w:rPr>
          <w:rFonts w:ascii="宋体" w:cs="宋体"/>
        </w:rPr>
      </w:pPr>
      <w:r>
        <w:rPr>
          <w:rFonts w:hint="eastAsia" w:ascii="宋体" w:cs="宋体"/>
          <w:szCs w:val="24"/>
        </w:rPr>
        <w:t>涉及的货品的价格优先按照广州市中心城区菜篮子平均零售价为基准价，未能在上述菜篮子查询到相应品种价格的，在报价日按以下顺序核定价格： 1）“京东商城自营店（JD.COM）”相同型号或规格产品的价格（不考虑满减、活动返现等折扣）；2）根据项目所在地农贸市场（明月市场或龟岗市场）选取同要求规格的品种的原售价作为基准价。乙方每月第一个工作日向甲方提供食材货物价目表，食材结算价格应等于每月第一个工作日按前述定价规则确定的食材基准价*中标折扣率。供货价格由甲方与乙方双方项目负责人签字确认。</w:t>
      </w:r>
      <w:r>
        <w:rPr>
          <w:rFonts w:hint="eastAsia" w:ascii="宋体" w:cs="宋体"/>
        </w:rPr>
        <w:t>结算公式：结算价格=食材基准价*中标折扣率</w:t>
      </w:r>
      <w:r>
        <w:rPr>
          <w:rFonts w:hint="eastAsia" w:ascii="宋体" w:cs="宋体"/>
          <w:u w:val="single"/>
        </w:rPr>
        <w:t xml:space="preserve">% </w:t>
      </w:r>
      <w:r>
        <w:rPr>
          <w:rFonts w:hint="eastAsia" w:ascii="宋体" w:cs="宋体"/>
        </w:rPr>
        <w:t xml:space="preserve">*实际供货数量。           </w:t>
      </w:r>
    </w:p>
    <w:p>
      <w:pPr>
        <w:spacing w:line="360" w:lineRule="auto"/>
        <w:ind w:firstLine="480" w:firstLineChars="200"/>
        <w:rPr>
          <w:rFonts w:ascii="宋体" w:cs="宋体"/>
        </w:rPr>
      </w:pPr>
      <w:r>
        <w:rPr>
          <w:rFonts w:hint="eastAsia" w:ascii="宋体" w:cs="宋体"/>
        </w:rPr>
        <w:t>2、</w:t>
      </w:r>
      <w:r>
        <w:rPr>
          <w:rFonts w:hint="eastAsia" w:ascii="宋体"/>
        </w:rPr>
        <w:t>价格构成：配送食材价格必须包含食材</w:t>
      </w:r>
      <w:r>
        <w:rPr>
          <w:rFonts w:hint="eastAsia" w:ascii="宋体" w:cs="宋体"/>
        </w:rPr>
        <w:t>成本、</w:t>
      </w:r>
      <w:r>
        <w:rPr>
          <w:rFonts w:hint="eastAsia" w:ascii="宋体"/>
        </w:rPr>
        <w:t>包装、运输、装卸、搬运、不合格食材的退换、合法有效的等额发票</w:t>
      </w:r>
      <w:r>
        <w:rPr>
          <w:rFonts w:hint="eastAsia" w:ascii="宋体" w:cs="宋体"/>
        </w:rPr>
        <w:t>、</w:t>
      </w:r>
      <w:r>
        <w:rPr>
          <w:rFonts w:hint="eastAsia" w:ascii="宋体"/>
        </w:rPr>
        <w:t>所有</w:t>
      </w:r>
      <w:r>
        <w:rPr>
          <w:rFonts w:hint="eastAsia" w:ascii="宋体" w:cs="宋体"/>
        </w:rPr>
        <w:t>投入本项目雇员费用</w:t>
      </w:r>
      <w:r>
        <w:rPr>
          <w:rFonts w:hint="eastAsia" w:ascii="宋体"/>
        </w:rPr>
        <w:t>、合同实施过程中的可预见及不可预见费用</w:t>
      </w:r>
      <w:r>
        <w:rPr>
          <w:rFonts w:hint="eastAsia" w:ascii="宋体" w:cs="宋体"/>
        </w:rPr>
        <w:t>等</w:t>
      </w:r>
      <w:r>
        <w:rPr>
          <w:rFonts w:hint="eastAsia" w:ascii="宋体"/>
        </w:rPr>
        <w:t>。</w:t>
      </w:r>
    </w:p>
    <w:p>
      <w:pPr>
        <w:numPr>
          <w:ilvl w:val="0"/>
          <w:numId w:val="3"/>
        </w:numPr>
        <w:tabs>
          <w:tab w:val="left" w:pos="525"/>
          <w:tab w:val="left" w:pos="704"/>
          <w:tab w:val="left" w:pos="846"/>
          <w:tab w:val="left" w:pos="3398"/>
        </w:tabs>
        <w:autoSpaceDE w:val="0"/>
        <w:autoSpaceDN w:val="0"/>
        <w:adjustRightInd w:val="0"/>
        <w:spacing w:before="156" w:line="360" w:lineRule="auto"/>
        <w:ind w:left="522" w:hanging="420"/>
        <w:outlineLvl w:val="1"/>
        <w:rPr>
          <w:rFonts w:ascii="宋体" w:cs="宋体"/>
          <w:b/>
          <w:bCs/>
        </w:rPr>
      </w:pPr>
      <w:r>
        <w:rPr>
          <w:rFonts w:hint="eastAsia" w:ascii="宋体" w:cs="宋体"/>
          <w:b/>
          <w:bCs/>
        </w:rPr>
        <w:t>验收标准</w:t>
      </w:r>
    </w:p>
    <w:p>
      <w:pPr>
        <w:spacing w:line="360" w:lineRule="auto"/>
        <w:ind w:left="0" w:firstLine="480" w:firstLineChars="200"/>
        <w:rPr>
          <w:rFonts w:ascii="宋体" w:hAnsi="宋体"/>
        </w:rPr>
      </w:pPr>
      <w:r>
        <w:rPr>
          <w:rFonts w:hint="eastAsia" w:ascii="宋体" w:hAnsi="宋体"/>
        </w:rPr>
        <w:t>1、项目负责人：合同执行期间，甲方委派为本项目负责人，联系电话：【】；乙方委派为本项目负责人，联系电话：【】，共同处理合同履行期间食材配送服务事宜。未经甲方书面同意，乙方不得随意更换项目负责人，如因特殊原因确需更换的，该人员须先经甲方书面同意。</w:t>
      </w:r>
    </w:p>
    <w:p>
      <w:pPr>
        <w:spacing w:line="360" w:lineRule="auto"/>
        <w:ind w:firstLine="480" w:firstLineChars="200"/>
        <w:rPr>
          <w:rFonts w:ascii="宋体"/>
        </w:rPr>
      </w:pPr>
      <w:r>
        <w:rPr>
          <w:rFonts w:hint="eastAsia" w:ascii="宋体"/>
        </w:rPr>
        <w:t>2、验收和送检要求：</w:t>
      </w:r>
    </w:p>
    <w:p>
      <w:pPr>
        <w:spacing w:line="360" w:lineRule="auto"/>
        <w:ind w:firstLine="484" w:firstLineChars="202"/>
        <w:rPr>
          <w:rFonts w:ascii="宋体" w:cs="宋体"/>
          <w:szCs w:val="24"/>
        </w:rPr>
      </w:pPr>
      <w:r>
        <w:rPr>
          <w:rFonts w:hint="eastAsia" w:ascii="宋体" w:cs="宋体"/>
        </w:rPr>
        <w:t>（1）</w:t>
      </w:r>
      <w:r>
        <w:rPr>
          <w:rFonts w:hint="eastAsia" w:ascii="宋体" w:cs="宋体"/>
          <w:szCs w:val="24"/>
        </w:rPr>
        <w:fldChar w:fldCharType="begin"/>
      </w:r>
      <w:r>
        <w:rPr>
          <w:rFonts w:hint="eastAsia" w:ascii="宋体" w:cs="宋体"/>
          <w:szCs w:val="24"/>
        </w:rPr>
        <w:instrText xml:space="preserve"> = 1 \* GB3 \* MERGEFORMAT </w:instrText>
      </w:r>
      <w:r>
        <w:rPr>
          <w:rFonts w:hint="eastAsia" w:ascii="宋体" w:cs="宋体"/>
          <w:szCs w:val="24"/>
        </w:rPr>
        <w:fldChar w:fldCharType="separate"/>
      </w:r>
      <w:r>
        <w:rPr>
          <w:rFonts w:hint="eastAsia" w:ascii="宋体"/>
        </w:rPr>
        <w:t>①</w:t>
      </w:r>
      <w:r>
        <w:rPr>
          <w:rFonts w:hint="eastAsia" w:ascii="宋体" w:cs="宋体"/>
          <w:szCs w:val="24"/>
        </w:rPr>
        <w:fldChar w:fldCharType="end"/>
      </w:r>
      <w:r>
        <w:rPr>
          <w:rFonts w:hint="eastAsia" w:ascii="宋体" w:cs="宋体"/>
          <w:szCs w:val="24"/>
        </w:rPr>
        <w:t>应做好卸货前的检查。甲乙双方验收人员卸货前应对场地和验收设备做好准备，并对食材的外观质量进行初步了解；</w:t>
      </w:r>
    </w:p>
    <w:p>
      <w:pPr>
        <w:spacing w:line="360" w:lineRule="auto"/>
        <w:ind w:firstLine="484" w:firstLineChars="202"/>
        <w:rPr>
          <w:rFonts w:ascii="宋体" w:cs="宋体"/>
          <w:szCs w:val="24"/>
        </w:rPr>
      </w:pPr>
      <w:r>
        <w:rPr>
          <w:rFonts w:hint="eastAsia" w:ascii="宋体" w:cs="宋体"/>
          <w:szCs w:val="24"/>
        </w:rPr>
        <w:fldChar w:fldCharType="begin"/>
      </w:r>
      <w:r>
        <w:rPr>
          <w:rFonts w:hint="eastAsia" w:ascii="宋体" w:cs="宋体"/>
          <w:szCs w:val="24"/>
        </w:rPr>
        <w:instrText xml:space="preserve"> = 2 \* GB3 \* MERGEFORMAT </w:instrText>
      </w:r>
      <w:r>
        <w:rPr>
          <w:rFonts w:hint="eastAsia" w:ascii="宋体" w:cs="宋体"/>
          <w:szCs w:val="24"/>
        </w:rPr>
        <w:fldChar w:fldCharType="separate"/>
      </w:r>
      <w:r>
        <w:rPr>
          <w:rFonts w:hint="eastAsia" w:ascii="宋体"/>
        </w:rPr>
        <w:t>②</w:t>
      </w:r>
      <w:r>
        <w:rPr>
          <w:rFonts w:hint="eastAsia" w:ascii="宋体" w:cs="宋体"/>
          <w:szCs w:val="24"/>
        </w:rPr>
        <w:fldChar w:fldCharType="end"/>
      </w:r>
      <w:r>
        <w:rPr>
          <w:rFonts w:hint="eastAsia" w:ascii="宋体" w:cs="宋体"/>
          <w:szCs w:val="24"/>
        </w:rPr>
        <w:t>应采取当场验收的方式。双方验收人员必须认真检验食材的质量要求，按索证→过磅→入库的程序完成验收；</w:t>
      </w:r>
    </w:p>
    <w:p>
      <w:pPr>
        <w:spacing w:line="360" w:lineRule="auto"/>
        <w:ind w:firstLine="480" w:firstLineChars="200"/>
        <w:rPr>
          <w:rFonts w:ascii="宋体" w:cs="宋体"/>
        </w:rPr>
      </w:pPr>
      <w:r>
        <w:rPr>
          <w:rFonts w:hint="eastAsia" w:ascii="宋体" w:cs="宋体"/>
        </w:rPr>
        <w:t>（2）必须进行抽查验收。抽查样本数视实际情况而定，一般不超过当批货物的10%。</w:t>
      </w:r>
    </w:p>
    <w:p>
      <w:pPr>
        <w:spacing w:line="360" w:lineRule="auto"/>
        <w:ind w:firstLine="480" w:firstLineChars="200"/>
        <w:rPr>
          <w:rFonts w:ascii="宋体" w:cs="宋体"/>
        </w:rPr>
      </w:pPr>
      <w:r>
        <w:rPr>
          <w:rFonts w:hint="eastAsia" w:ascii="宋体" w:cs="宋体"/>
        </w:rPr>
        <w:t>（3）对不符合甲方要求的食材，由甲方验收人员提出清退，退货前应实行留样备案，如双方对质量争议可送国家质监部门检测。对缺斤短两（或含水量超标）的应按实际重量扣减。出现退（补）货情况，应及时报告（甲方此阶段仅对产品数量、外观等显著瑕疵进行验收，如产品出现其他质量问题，乙方不因此免除产品出现质量问题的违约责任）。在退货过程中，对双方确认的有碍公共卫生安全的食材，应按国家有关规定处理或进行协议销毁，而不是退货给乙方。</w:t>
      </w:r>
    </w:p>
    <w:p>
      <w:pPr>
        <w:spacing w:line="360" w:lineRule="auto"/>
        <w:ind w:firstLine="480" w:firstLineChars="200"/>
        <w:rPr>
          <w:rFonts w:ascii="宋体" w:cs="宋体"/>
        </w:rPr>
      </w:pPr>
      <w:r>
        <w:rPr>
          <w:rFonts w:hint="eastAsia" w:ascii="宋体" w:cs="宋体"/>
        </w:rPr>
        <w:t>（4）乙方不具备食材出厂检验能力的，应按照就近的原则委托国家</w:t>
      </w:r>
      <w:r>
        <w:rPr>
          <w:rFonts w:hint="eastAsia" w:ascii="宋体" w:cs="宋体"/>
          <w:lang w:eastAsia="zh-CN"/>
        </w:rPr>
        <w:t>市场监督管理总局</w:t>
      </w:r>
      <w:r>
        <w:rPr>
          <w:rFonts w:hint="eastAsia" w:ascii="宋体" w:cs="宋体"/>
        </w:rPr>
        <w:t>指定并同意公布的检验机构进行食材出厂检验。如对有质疑的货物可送有关检测部门进行质量确认，如质量有问题，则检测费用由乙方支付；否则检测费用由甲方支付。</w:t>
      </w:r>
    </w:p>
    <w:p>
      <w:pPr>
        <w:spacing w:line="360" w:lineRule="auto"/>
        <w:ind w:firstLine="480" w:firstLineChars="200"/>
        <w:rPr>
          <w:rFonts w:ascii="宋体" w:cs="宋体"/>
        </w:rPr>
      </w:pPr>
      <w:r>
        <w:rPr>
          <w:rFonts w:hint="eastAsia" w:ascii="宋体" w:cs="宋体"/>
        </w:rPr>
        <w:t>（5）乙方所供应的货物送达时，必须提供地級市以上卫生或质监部门的检验合格证明。</w:t>
      </w:r>
    </w:p>
    <w:p>
      <w:pPr>
        <w:spacing w:line="360" w:lineRule="auto"/>
        <w:ind w:firstLine="480" w:firstLineChars="200"/>
        <w:rPr>
          <w:rFonts w:ascii="宋体" w:cs="宋体"/>
        </w:rPr>
      </w:pPr>
      <w:r>
        <w:rPr>
          <w:rFonts w:hint="eastAsia" w:ascii="宋体" w:cs="宋体"/>
        </w:rPr>
        <w:t>（6）其他有关验收、检测要求详见本合同附件一《采购需求》。</w:t>
      </w:r>
    </w:p>
    <w:p>
      <w:pPr>
        <w:numPr>
          <w:ilvl w:val="0"/>
          <w:numId w:val="3"/>
        </w:numPr>
        <w:tabs>
          <w:tab w:val="left" w:pos="525"/>
          <w:tab w:val="left" w:pos="704"/>
          <w:tab w:val="left" w:pos="846"/>
          <w:tab w:val="left" w:pos="3398"/>
        </w:tabs>
        <w:autoSpaceDE w:val="0"/>
        <w:autoSpaceDN w:val="0"/>
        <w:adjustRightInd w:val="0"/>
        <w:spacing w:before="156" w:line="360" w:lineRule="auto"/>
        <w:ind w:left="522" w:hanging="420"/>
        <w:outlineLvl w:val="1"/>
        <w:rPr>
          <w:rFonts w:ascii="宋体" w:cs="宋体"/>
          <w:b/>
          <w:bCs/>
        </w:rPr>
      </w:pPr>
      <w:r>
        <w:rPr>
          <w:rFonts w:hint="eastAsia" w:ascii="宋体" w:cs="宋体"/>
          <w:b/>
          <w:bCs/>
        </w:rPr>
        <w:t>付款方式及履约保证金</w:t>
      </w:r>
    </w:p>
    <w:p>
      <w:pPr>
        <w:spacing w:line="360" w:lineRule="auto"/>
        <w:ind w:firstLine="484" w:firstLineChars="202"/>
        <w:rPr>
          <w:rFonts w:ascii="宋体" w:cs="宋体"/>
        </w:rPr>
      </w:pPr>
      <w:r>
        <w:rPr>
          <w:rFonts w:hint="eastAsia" w:ascii="宋体" w:cs="宋体"/>
          <w:szCs w:val="24"/>
        </w:rPr>
        <w:t>1、</w:t>
      </w:r>
      <w:r>
        <w:rPr>
          <w:rFonts w:hint="eastAsia" w:ascii="宋体" w:cs="宋体"/>
        </w:rPr>
        <w:t>履约保证金</w:t>
      </w:r>
    </w:p>
    <w:p>
      <w:pPr>
        <w:spacing w:line="360" w:lineRule="auto"/>
        <w:ind w:firstLine="484" w:firstLineChars="202"/>
        <w:rPr>
          <w:rFonts w:ascii="宋体" w:cs="宋体"/>
          <w:szCs w:val="24"/>
        </w:rPr>
      </w:pPr>
      <w:r>
        <w:rPr>
          <w:rFonts w:hint="eastAsia" w:ascii="宋体" w:cs="宋体"/>
          <w:szCs w:val="24"/>
        </w:rPr>
        <w:t>1.1提交时间：签订合同后10天内提供。</w:t>
      </w:r>
    </w:p>
    <w:p>
      <w:pPr>
        <w:spacing w:line="360" w:lineRule="auto"/>
        <w:ind w:firstLine="484" w:firstLineChars="202"/>
        <w:rPr>
          <w:rFonts w:ascii="宋体" w:cs="宋体"/>
          <w:szCs w:val="24"/>
        </w:rPr>
      </w:pPr>
      <w:r>
        <w:rPr>
          <w:rFonts w:hint="eastAsia" w:ascii="宋体" w:cs="宋体"/>
          <w:szCs w:val="24"/>
        </w:rPr>
        <w:t>1.2收取比例：</w:t>
      </w:r>
      <w:r>
        <w:rPr>
          <w:rFonts w:hint="eastAsia" w:ascii="宋体" w:cs="宋体"/>
          <w:szCs w:val="24"/>
          <w:lang w:val="en-US" w:eastAsia="zh-CN"/>
        </w:rPr>
        <w:t>采购预算200万元</w:t>
      </w:r>
      <w:r>
        <w:rPr>
          <w:rFonts w:hint="eastAsia" w:ascii="宋体" w:cs="宋体"/>
          <w:szCs w:val="24"/>
        </w:rPr>
        <w:t xml:space="preserve">的5%。 </w:t>
      </w:r>
    </w:p>
    <w:p>
      <w:pPr>
        <w:spacing w:line="360" w:lineRule="auto"/>
        <w:ind w:firstLine="484" w:firstLineChars="202"/>
        <w:rPr>
          <w:rFonts w:ascii="宋体" w:cs="宋体"/>
          <w:szCs w:val="24"/>
        </w:rPr>
      </w:pPr>
      <w:r>
        <w:rPr>
          <w:rFonts w:hint="eastAsia" w:ascii="宋体" w:cs="宋体"/>
          <w:szCs w:val="24"/>
        </w:rPr>
        <w:t>1.3方式：履约保证金以支票、汇票、本票或者金融机构、担保机构出具的保函等非现金形式向甲方提交履约保证金。 如以银行保函方式提供的有效期须涵盖每次合同签订的服务期。</w:t>
      </w:r>
    </w:p>
    <w:p>
      <w:pPr>
        <w:spacing w:line="360" w:lineRule="auto"/>
        <w:ind w:firstLine="484" w:firstLineChars="202"/>
        <w:rPr>
          <w:rFonts w:ascii="宋体" w:cs="宋体"/>
          <w:szCs w:val="24"/>
        </w:rPr>
      </w:pPr>
      <w:r>
        <w:rPr>
          <w:rFonts w:hint="eastAsia" w:ascii="宋体" w:cs="宋体"/>
          <w:szCs w:val="24"/>
        </w:rPr>
        <w:t xml:space="preserve">1.4若乙方没有违约行为，履约保证金在整体验收合格后由乙方向甲方提出退还申请，甲方在乙方提出申请后15个工作日内无息退还乙方。甲方逾期退还履约保证金的，除应当退还履约保证金的本金外，还应当按中国人民银行同期活期利率支付超期资金占用费，但因乙方自身原因导致无法及时退还的除外。 </w:t>
      </w:r>
    </w:p>
    <w:p>
      <w:pPr>
        <w:spacing w:line="360" w:lineRule="auto"/>
        <w:ind w:firstLine="484" w:firstLineChars="202"/>
        <w:rPr>
          <w:rFonts w:ascii="宋体" w:cs="宋体"/>
          <w:szCs w:val="24"/>
        </w:rPr>
      </w:pPr>
      <w:r>
        <w:rPr>
          <w:rFonts w:hint="eastAsia" w:ascii="宋体" w:cs="宋体"/>
          <w:szCs w:val="24"/>
        </w:rPr>
        <w:t>1.5下列任何一种情况发生时，甲方有权不予退还履约保证金并根据乙方造成损失情况要求乙方赔偿甲方相应经济损失：A.因乙方违约导致工作缺失，甲方书面通知 2 次后仍不整改；B.有明显证据证明乙方未履行本合同约定的；C.乙方有明显过错致甲方造成损失的。</w:t>
      </w:r>
    </w:p>
    <w:p>
      <w:pPr>
        <w:spacing w:line="360" w:lineRule="auto"/>
        <w:ind w:firstLine="484" w:firstLineChars="202"/>
        <w:rPr>
          <w:rFonts w:ascii="宋体" w:cs="宋体"/>
          <w:szCs w:val="24"/>
        </w:rPr>
      </w:pPr>
      <w:r>
        <w:rPr>
          <w:rFonts w:ascii="宋体" w:cs="宋体"/>
          <w:szCs w:val="24"/>
        </w:rPr>
        <w:t>2、甲方每月按照《月度考核评分表》对乙方的服务进行考核：</w:t>
      </w:r>
    </w:p>
    <w:p>
      <w:pPr>
        <w:spacing w:line="360" w:lineRule="auto"/>
        <w:ind w:firstLine="484" w:firstLineChars="202"/>
        <w:rPr>
          <w:rFonts w:ascii="宋体" w:cs="宋体"/>
          <w:szCs w:val="24"/>
        </w:rPr>
      </w:pPr>
      <w:r>
        <w:rPr>
          <w:rFonts w:ascii="宋体" w:cs="宋体"/>
          <w:szCs w:val="24"/>
        </w:rPr>
        <w:t>（1）90分及以上为优秀，甲方全额支付当月服务款项，乙方应持续保持服务水平；</w:t>
      </w:r>
    </w:p>
    <w:p>
      <w:pPr>
        <w:spacing w:line="360" w:lineRule="auto"/>
        <w:ind w:firstLine="484" w:firstLineChars="202"/>
        <w:rPr>
          <w:rFonts w:ascii="宋体" w:cs="宋体"/>
          <w:szCs w:val="24"/>
        </w:rPr>
      </w:pPr>
      <w:r>
        <w:rPr>
          <w:rFonts w:ascii="宋体" w:cs="宋体"/>
          <w:szCs w:val="24"/>
        </w:rPr>
        <w:t>（2）80分至89分为良好，全额支付当月服务款项，但是乙方需对存在的问题进行自查自改，并在一周内提交整改报告；</w:t>
      </w:r>
    </w:p>
    <w:p>
      <w:pPr>
        <w:spacing w:line="360" w:lineRule="auto"/>
        <w:ind w:firstLine="484" w:firstLineChars="202"/>
        <w:rPr>
          <w:rFonts w:ascii="宋体" w:cs="宋体"/>
          <w:szCs w:val="24"/>
        </w:rPr>
      </w:pPr>
      <w:r>
        <w:rPr>
          <w:rFonts w:ascii="宋体" w:cs="宋体"/>
          <w:szCs w:val="24"/>
        </w:rPr>
        <w:t>（3）70分至79分为及格，乙方对存在的问题进行自查自改，并在一周内提交整改报告，甲方有权直接从当月食品费中扣除不高于30%的服务款项；</w:t>
      </w:r>
    </w:p>
    <w:p>
      <w:pPr>
        <w:spacing w:line="360" w:lineRule="auto"/>
        <w:ind w:firstLine="484" w:firstLineChars="202"/>
        <w:rPr>
          <w:rFonts w:ascii="宋体" w:cs="宋体"/>
          <w:szCs w:val="24"/>
        </w:rPr>
      </w:pPr>
      <w:r>
        <w:rPr>
          <w:rFonts w:ascii="宋体" w:cs="宋体"/>
          <w:szCs w:val="24"/>
        </w:rPr>
        <w:t>（4）70分（不含）以下为不及格；甲方有权直接从当月服务款项中扣除不高于50%服务款项，并约谈乙方法人代表或授权代表人。</w:t>
      </w:r>
    </w:p>
    <w:p>
      <w:pPr>
        <w:spacing w:line="360" w:lineRule="auto"/>
        <w:ind w:firstLine="484" w:firstLineChars="202"/>
        <w:rPr>
          <w:rFonts w:ascii="宋体" w:cs="宋体"/>
          <w:szCs w:val="24"/>
        </w:rPr>
      </w:pPr>
      <w:r>
        <w:rPr>
          <w:rFonts w:ascii="宋体" w:cs="宋体"/>
          <w:szCs w:val="24"/>
        </w:rPr>
        <w:t>3</w:t>
      </w:r>
      <w:r>
        <w:rPr>
          <w:rFonts w:hint="eastAsia" w:ascii="宋体" w:cs="宋体"/>
          <w:szCs w:val="24"/>
        </w:rPr>
        <w:t>、服务款项按月结算，在办理付款手续之前双方须对供应食材的品种、数量、单价、金额等进行统计，并核实无误。</w:t>
      </w:r>
    </w:p>
    <w:p>
      <w:pPr>
        <w:spacing w:line="360" w:lineRule="auto"/>
        <w:ind w:firstLine="484" w:firstLineChars="202"/>
        <w:rPr>
          <w:rFonts w:ascii="宋体" w:cs="宋体"/>
          <w:szCs w:val="24"/>
        </w:rPr>
      </w:pPr>
      <w:r>
        <w:rPr>
          <w:rFonts w:ascii="宋体" w:cs="宋体"/>
          <w:szCs w:val="24"/>
        </w:rPr>
        <w:t>4</w:t>
      </w:r>
      <w:r>
        <w:rPr>
          <w:rFonts w:hint="eastAsia" w:ascii="宋体" w:cs="宋体"/>
          <w:szCs w:val="24"/>
        </w:rPr>
        <w:t>、乙方在完成当月供货订单并验收合格后，于次月10日前凭合法有效的等额发票</w:t>
      </w:r>
      <w:r>
        <w:rPr>
          <w:rFonts w:hint="eastAsia" w:ascii="宋体" w:cs="宋体"/>
          <w:szCs w:val="24"/>
          <w:lang w:eastAsia="zh-CN"/>
        </w:rPr>
        <w:t>（</w:t>
      </w:r>
      <w:r>
        <w:rPr>
          <w:rFonts w:hint="eastAsia" w:ascii="宋体" w:cs="宋体"/>
          <w:szCs w:val="24"/>
          <w:lang w:val="en-US" w:eastAsia="zh-CN"/>
        </w:rPr>
        <w:t>除按照税法规定需开具免税增值税普通发票外，应开具增值税专用发票</w:t>
      </w:r>
      <w:r>
        <w:rPr>
          <w:rFonts w:hint="eastAsia" w:ascii="宋体" w:cs="宋体"/>
          <w:szCs w:val="24"/>
          <w:lang w:eastAsia="zh-CN"/>
        </w:rPr>
        <w:t>）</w:t>
      </w:r>
      <w:r>
        <w:rPr>
          <w:rFonts w:hint="eastAsia" w:ascii="宋体" w:cs="宋体"/>
          <w:szCs w:val="24"/>
        </w:rPr>
        <w:t>向甲方申请付款，甲方收到发票后在10个工作日内</w:t>
      </w:r>
      <w:r>
        <w:rPr>
          <w:rFonts w:hint="eastAsia" w:ascii="宋体"/>
          <w:szCs w:val="24"/>
        </w:rPr>
        <w:t>支付给乙方</w:t>
      </w:r>
      <w:r>
        <w:rPr>
          <w:rFonts w:hint="eastAsia" w:ascii="宋体" w:cs="宋体"/>
          <w:szCs w:val="24"/>
        </w:rPr>
        <w:t>。</w:t>
      </w:r>
    </w:p>
    <w:p>
      <w:pPr>
        <w:pStyle w:val="41"/>
        <w:adjustRightInd w:val="0"/>
        <w:snapToGrid w:val="0"/>
        <w:spacing w:line="360" w:lineRule="auto"/>
        <w:ind w:firstLine="480" w:firstLineChars="200"/>
        <w:rPr>
          <w:color w:val="auto"/>
        </w:rPr>
      </w:pPr>
      <w:r>
        <w:rPr>
          <w:color w:val="auto"/>
        </w:rPr>
        <w:t>5</w:t>
      </w:r>
      <w:r>
        <w:rPr>
          <w:rFonts w:hint="eastAsia"/>
          <w:color w:val="auto"/>
        </w:rPr>
        <w:t>、乙方应在每笔款项请款前向甲方提供合法有效的等额发票，如乙方未提供等额合法有效发票的或提供发票不符合约定的，甲方有权拒绝办理财政支付申请手续且无须承担逾期申请付款的违约责任。</w:t>
      </w:r>
    </w:p>
    <w:p>
      <w:pPr>
        <w:pStyle w:val="41"/>
        <w:adjustRightInd w:val="0"/>
        <w:snapToGrid w:val="0"/>
        <w:spacing w:line="360" w:lineRule="auto"/>
        <w:ind w:firstLine="480" w:firstLineChars="200"/>
        <w:rPr>
          <w:color w:val="auto"/>
        </w:rPr>
      </w:pPr>
      <w:r>
        <w:rPr>
          <w:color w:val="auto"/>
        </w:rPr>
        <w:t>6</w:t>
      </w:r>
      <w:r>
        <w:rPr>
          <w:rFonts w:hint="eastAsia"/>
          <w:color w:val="auto"/>
        </w:rPr>
        <w:t>、如因乙方未能按期完成最终验收、政府财政支付流程、资金到位等特殊情况导致的支付延期，甲方不承担任何相关违约责任，不支付因此产生的利息。</w:t>
      </w:r>
    </w:p>
    <w:p>
      <w:pPr>
        <w:numPr>
          <w:ilvl w:val="0"/>
          <w:numId w:val="3"/>
        </w:numPr>
        <w:tabs>
          <w:tab w:val="left" w:pos="525"/>
          <w:tab w:val="left" w:pos="704"/>
          <w:tab w:val="left" w:pos="846"/>
          <w:tab w:val="left" w:pos="3398"/>
        </w:tabs>
        <w:autoSpaceDE w:val="0"/>
        <w:autoSpaceDN w:val="0"/>
        <w:adjustRightInd w:val="0"/>
        <w:spacing w:before="156" w:line="360" w:lineRule="auto"/>
        <w:ind w:left="522" w:hanging="420"/>
        <w:outlineLvl w:val="1"/>
        <w:rPr>
          <w:rFonts w:ascii="宋体" w:cs="宋体"/>
          <w:b/>
          <w:bCs/>
        </w:rPr>
      </w:pPr>
      <w:r>
        <w:rPr>
          <w:rFonts w:hint="eastAsia" w:ascii="宋体" w:cs="宋体"/>
          <w:b/>
          <w:bCs/>
        </w:rPr>
        <w:t>甲方权利和责任</w:t>
      </w:r>
    </w:p>
    <w:p>
      <w:pPr>
        <w:tabs>
          <w:tab w:val="left" w:pos="0"/>
        </w:tabs>
        <w:spacing w:line="360" w:lineRule="auto"/>
        <w:ind w:firstLine="480" w:firstLineChars="200"/>
        <w:rPr>
          <w:rFonts w:ascii="宋体" w:cs="宋体"/>
        </w:rPr>
      </w:pPr>
      <w:r>
        <w:rPr>
          <w:rFonts w:hint="eastAsia" w:ascii="宋体" w:cs="宋体"/>
        </w:rPr>
        <w:t>1、甲方按照合同约定向乙方支付服务款项。</w:t>
      </w:r>
    </w:p>
    <w:p>
      <w:pPr>
        <w:tabs>
          <w:tab w:val="left" w:pos="0"/>
        </w:tabs>
        <w:spacing w:line="360" w:lineRule="auto"/>
        <w:ind w:firstLine="480" w:firstLineChars="200"/>
        <w:rPr>
          <w:rFonts w:ascii="宋体" w:cs="宋体"/>
        </w:rPr>
      </w:pPr>
      <w:r>
        <w:rPr>
          <w:rFonts w:hint="eastAsia" w:ascii="宋体" w:cs="宋体"/>
        </w:rPr>
        <w:t>2、向乙方下达订货通知，并与乙方约定收货、验收时间，参与验收工作。</w:t>
      </w:r>
    </w:p>
    <w:p>
      <w:pPr>
        <w:tabs>
          <w:tab w:val="left" w:pos="0"/>
        </w:tabs>
        <w:spacing w:line="360" w:lineRule="auto"/>
        <w:ind w:firstLine="480" w:firstLineChars="200"/>
        <w:rPr>
          <w:rFonts w:ascii="宋体" w:cs="宋体"/>
        </w:rPr>
      </w:pPr>
      <w:r>
        <w:rPr>
          <w:rFonts w:hint="eastAsia" w:ascii="宋体" w:cs="宋体"/>
        </w:rPr>
        <w:t>3、甲方验收人员在验货时如发现品名、数量、规格、供货时间、质量标准等不符合时，有权拒收或要求退换。未经甲方同意配送的产品，甲方有权拒收。</w:t>
      </w:r>
    </w:p>
    <w:p>
      <w:pPr>
        <w:numPr>
          <w:ilvl w:val="0"/>
          <w:numId w:val="3"/>
        </w:numPr>
        <w:tabs>
          <w:tab w:val="left" w:pos="525"/>
          <w:tab w:val="left" w:pos="704"/>
          <w:tab w:val="left" w:pos="846"/>
          <w:tab w:val="left" w:pos="3398"/>
        </w:tabs>
        <w:autoSpaceDE w:val="0"/>
        <w:autoSpaceDN w:val="0"/>
        <w:adjustRightInd w:val="0"/>
        <w:spacing w:before="156" w:line="360" w:lineRule="auto"/>
        <w:ind w:left="522" w:hanging="420"/>
        <w:outlineLvl w:val="1"/>
        <w:rPr>
          <w:rFonts w:ascii="宋体" w:cs="宋体"/>
          <w:b/>
          <w:bCs/>
        </w:rPr>
      </w:pPr>
      <w:r>
        <w:rPr>
          <w:rFonts w:hint="eastAsia" w:ascii="宋体" w:cs="宋体"/>
          <w:b/>
          <w:bCs/>
        </w:rPr>
        <w:t>乙方权利和责任</w:t>
      </w:r>
    </w:p>
    <w:p>
      <w:pPr>
        <w:tabs>
          <w:tab w:val="left" w:pos="0"/>
        </w:tabs>
        <w:spacing w:line="360" w:lineRule="auto"/>
        <w:ind w:firstLine="480" w:firstLineChars="200"/>
        <w:rPr>
          <w:rFonts w:ascii="宋体" w:cs="宋体"/>
        </w:rPr>
      </w:pPr>
      <w:r>
        <w:rPr>
          <w:rFonts w:hint="eastAsia" w:ascii="宋体" w:cs="宋体"/>
        </w:rPr>
        <w:t>1、经甲乙双方确认的每月报价作为本合同基本单价，未经双方协商，此价格不得调整。</w:t>
      </w:r>
    </w:p>
    <w:p>
      <w:pPr>
        <w:tabs>
          <w:tab w:val="left" w:pos="0"/>
        </w:tabs>
        <w:spacing w:line="360" w:lineRule="auto"/>
        <w:ind w:firstLine="480" w:firstLineChars="200"/>
        <w:rPr>
          <w:rFonts w:ascii="宋体" w:cs="宋体"/>
        </w:rPr>
      </w:pPr>
      <w:r>
        <w:rPr>
          <w:rFonts w:hint="eastAsia" w:ascii="宋体" w:cs="宋体"/>
        </w:rPr>
        <w:t>2、乙方必须保持稳定的配送人员、车辆和货源。乙方配送的产品品种及数量以甲方的订货单要求为准（特殊情况需要更换品种时，必须经订货方同意后方可更换），并确保按时保质保量将货送到甲方指定地点。乙方配送人员必须有健康证，甲方在重大活动期间，乙方应配有专车和专人（至少1人）在现场服务。</w:t>
      </w:r>
    </w:p>
    <w:p>
      <w:pPr>
        <w:tabs>
          <w:tab w:val="left" w:pos="0"/>
        </w:tabs>
        <w:spacing w:line="360" w:lineRule="auto"/>
        <w:ind w:firstLine="480" w:firstLineChars="200"/>
        <w:rPr>
          <w:rFonts w:ascii="宋体" w:cs="宋体"/>
        </w:rPr>
      </w:pPr>
      <w:r>
        <w:rPr>
          <w:rFonts w:hint="eastAsia" w:ascii="宋体" w:cs="宋体"/>
        </w:rPr>
        <w:t>3、乙方按双方共同认可的质量标准为甲方配送产品。</w:t>
      </w:r>
    </w:p>
    <w:p>
      <w:pPr>
        <w:tabs>
          <w:tab w:val="left" w:pos="0"/>
        </w:tabs>
        <w:spacing w:line="360" w:lineRule="auto"/>
        <w:ind w:firstLine="480" w:firstLineChars="200"/>
        <w:rPr>
          <w:rFonts w:ascii="宋体" w:cs="宋体"/>
        </w:rPr>
      </w:pPr>
      <w:r>
        <w:rPr>
          <w:rFonts w:hint="eastAsia" w:ascii="宋体" w:cs="宋体"/>
        </w:rPr>
        <w:t>4、乙方所配送产品必须符合国家相关标准及招标文件要求，配送的粮油、调味品、干货、水果及奶制品类等食品材料必须达到净菜标准和要求，所供应包装类食品剩余保质期不得低于三分之二；非乙方生产基地产出产品必须有正规进货渠道，并向甲方提供相关货源地资质证明及合作协议。</w:t>
      </w:r>
    </w:p>
    <w:p>
      <w:pPr>
        <w:tabs>
          <w:tab w:val="left" w:pos="0"/>
        </w:tabs>
        <w:spacing w:line="360" w:lineRule="auto"/>
        <w:ind w:firstLine="480" w:firstLineChars="200"/>
        <w:rPr>
          <w:rFonts w:ascii="宋体" w:cs="宋体"/>
        </w:rPr>
      </w:pPr>
      <w:r>
        <w:rPr>
          <w:rFonts w:hint="eastAsia" w:ascii="宋体" w:cs="宋体"/>
        </w:rPr>
        <w:t>5、乙方应与甲方确定送货时间，以便做好交收工作。</w:t>
      </w:r>
    </w:p>
    <w:p>
      <w:pPr>
        <w:tabs>
          <w:tab w:val="left" w:pos="0"/>
        </w:tabs>
        <w:spacing w:line="360" w:lineRule="auto"/>
        <w:ind w:firstLine="480" w:firstLineChars="200"/>
        <w:rPr>
          <w:rFonts w:hint="eastAsia" w:ascii="宋体" w:cs="宋体"/>
        </w:rPr>
      </w:pPr>
      <w:r>
        <w:rPr>
          <w:rFonts w:hint="eastAsia" w:ascii="宋体" w:cs="宋体"/>
        </w:rPr>
        <w:t>6、乙方配送货物期间因此乙方原因造成乙方、甲方或第三方人身财产损失的，乙方承担全部赔偿责任。</w:t>
      </w:r>
    </w:p>
    <w:p>
      <w:pPr>
        <w:numPr>
          <w:ilvl w:val="0"/>
          <w:numId w:val="3"/>
        </w:numPr>
        <w:tabs>
          <w:tab w:val="left" w:pos="525"/>
          <w:tab w:val="left" w:pos="704"/>
          <w:tab w:val="left" w:pos="846"/>
          <w:tab w:val="left" w:pos="3398"/>
        </w:tabs>
        <w:autoSpaceDE w:val="0"/>
        <w:autoSpaceDN w:val="0"/>
        <w:adjustRightInd w:val="0"/>
        <w:spacing w:before="156" w:line="360" w:lineRule="auto"/>
        <w:ind w:left="522" w:hanging="420"/>
        <w:outlineLvl w:val="1"/>
        <w:rPr>
          <w:rFonts w:ascii="宋体" w:cs="宋体"/>
          <w:b/>
          <w:bCs/>
        </w:rPr>
      </w:pPr>
      <w:r>
        <w:rPr>
          <w:rFonts w:hint="eastAsia" w:ascii="宋体" w:cs="宋体"/>
          <w:b/>
          <w:bCs/>
        </w:rPr>
        <w:t>违约责任</w:t>
      </w:r>
    </w:p>
    <w:p>
      <w:pPr>
        <w:tabs>
          <w:tab w:val="left" w:pos="0"/>
        </w:tabs>
        <w:spacing w:line="360" w:lineRule="auto"/>
        <w:ind w:firstLine="480" w:firstLineChars="200"/>
        <w:rPr>
          <w:rFonts w:ascii="宋体" w:cs="宋体"/>
        </w:rPr>
      </w:pPr>
      <w:r>
        <w:rPr>
          <w:rFonts w:hint="eastAsia" w:ascii="宋体" w:cs="宋体"/>
        </w:rPr>
        <w:t>1、乙方没有按照订货单要求的品种、数量、规格等或者送货时间晚于甲方要求送达时间30分钟以上，甲方有权拒收全部或部分货物，并扣除该批次20%的服务款项。</w:t>
      </w:r>
    </w:p>
    <w:p>
      <w:pPr>
        <w:tabs>
          <w:tab w:val="left" w:pos="0"/>
        </w:tabs>
        <w:spacing w:line="360" w:lineRule="auto"/>
        <w:ind w:firstLine="480" w:firstLineChars="200"/>
        <w:rPr>
          <w:rFonts w:ascii="宋体" w:cs="宋体"/>
        </w:rPr>
      </w:pPr>
      <w:r>
        <w:rPr>
          <w:rFonts w:hint="eastAsia" w:ascii="宋体" w:cs="宋体"/>
        </w:rPr>
        <w:t>2、合同履行期间如某批次食材出现质量问题，甲方可予以退货，乙方必须在本合同约定时间内无条件对该批次的全部货物进行换货，甲方有权扣除乙方该批次服务款项的20%；一个月累计出现2次或2次以上质量问题的，甲方有权扣除扣该月服务款项的10%；甲方可在支付给乙方的服务款项中直接扣除。</w:t>
      </w:r>
    </w:p>
    <w:p>
      <w:pPr>
        <w:tabs>
          <w:tab w:val="left" w:pos="0"/>
        </w:tabs>
        <w:spacing w:line="360" w:lineRule="auto"/>
        <w:ind w:firstLine="480" w:firstLineChars="200"/>
        <w:rPr>
          <w:rFonts w:ascii="宋体" w:cs="宋体"/>
        </w:rPr>
      </w:pPr>
      <w:r>
        <w:rPr>
          <w:rFonts w:hint="eastAsia" w:ascii="宋体" w:cs="宋体"/>
        </w:rPr>
        <w:t xml:space="preserve">3、乙方未按照订货单要求的品种、数量、规格等送货累计5次或晚于甲方要求送达时间30分钟以上累计5次，甲方有权终止合同；甲方重大活动期间，乙方未按照订货单要求的品种、数量、规格等送货或送货时间晚于甲方要求送达时间30分钟以上，甲方有权无责任单方面解除合同。 </w:t>
      </w:r>
    </w:p>
    <w:p>
      <w:pPr>
        <w:tabs>
          <w:tab w:val="left" w:pos="0"/>
        </w:tabs>
        <w:spacing w:line="360" w:lineRule="auto"/>
        <w:ind w:firstLine="480" w:firstLineChars="200"/>
        <w:rPr>
          <w:rFonts w:ascii="宋体" w:cs="宋体"/>
        </w:rPr>
      </w:pPr>
      <w:r>
        <w:rPr>
          <w:rFonts w:hint="eastAsia" w:ascii="宋体" w:cs="宋体"/>
        </w:rPr>
        <w:t xml:space="preserve">4、乙方供应不合格的、假冒伪劣、以次充好的食材，甲方退货后将记录在案，并有权要求乙方赔偿因此给甲方造成的一切损失并承担违约责任。情节严重的，甲方有权无责任单方面解除合同。 </w:t>
      </w:r>
    </w:p>
    <w:p>
      <w:pPr>
        <w:tabs>
          <w:tab w:val="left" w:pos="0"/>
        </w:tabs>
        <w:spacing w:line="360" w:lineRule="auto"/>
        <w:ind w:firstLine="480" w:firstLineChars="200"/>
        <w:rPr>
          <w:rFonts w:ascii="宋体" w:cs="宋体"/>
        </w:rPr>
      </w:pPr>
      <w:r>
        <w:rPr>
          <w:rFonts w:hint="eastAsia" w:ascii="宋体" w:cs="宋体"/>
        </w:rPr>
        <w:t>5、甲方有权进行不定期检查，如累计三次发现不符合合同规定的食材，甲方有权无责任单方面解除合同，并将情况反应市场监管部门，乙方承担由此给甲方造成的一切损失。</w:t>
      </w:r>
    </w:p>
    <w:p>
      <w:pPr>
        <w:tabs>
          <w:tab w:val="left" w:pos="0"/>
        </w:tabs>
        <w:spacing w:line="360" w:lineRule="auto"/>
        <w:ind w:firstLine="480" w:firstLineChars="200"/>
        <w:rPr>
          <w:rFonts w:ascii="宋体" w:cs="宋体"/>
        </w:rPr>
      </w:pPr>
      <w:r>
        <w:rPr>
          <w:rFonts w:hint="eastAsia" w:ascii="宋体" w:cs="宋体"/>
        </w:rPr>
        <w:t>6、乙方一月内被甲方有效投诉3次或造成安全（监管和食品卫生）事故的，甲方有权无责任单方面解除合同，乙方承担由此给甲方造成的一切损失和责任。</w:t>
      </w:r>
    </w:p>
    <w:p>
      <w:pPr>
        <w:tabs>
          <w:tab w:val="left" w:pos="0"/>
        </w:tabs>
        <w:spacing w:line="360" w:lineRule="auto"/>
        <w:ind w:firstLine="480" w:firstLineChars="200"/>
        <w:rPr>
          <w:rFonts w:ascii="宋体" w:cs="宋体"/>
        </w:rPr>
      </w:pPr>
      <w:r>
        <w:rPr>
          <w:rFonts w:hint="eastAsia" w:ascii="宋体" w:cs="宋体"/>
        </w:rPr>
        <w:t>7、合同履行期间，如果出现食材质量问题或造成食物中毒，经查实后确属乙方责任，乙方应承担全部责任和经济赔偿，主要包括食物中毒人员医疗费、误工费、事故处理费等，直至追究刑事责任。</w:t>
      </w:r>
    </w:p>
    <w:p>
      <w:pPr>
        <w:tabs>
          <w:tab w:val="left" w:pos="0"/>
        </w:tabs>
        <w:spacing w:line="360" w:lineRule="auto"/>
        <w:ind w:firstLine="480" w:firstLineChars="200"/>
        <w:rPr>
          <w:rFonts w:ascii="宋体" w:cs="宋体"/>
        </w:rPr>
      </w:pPr>
      <w:r>
        <w:rPr>
          <w:rFonts w:hint="eastAsia" w:ascii="宋体" w:cs="宋体"/>
        </w:rPr>
        <w:t>8、乙方在合同履行期间内保证对甲方的食材配送供应，若不能履行合同的，视为乙方严重违约，甲方有权单方终止本合同，由此产生的一切经济损失由乙方自行承担。</w:t>
      </w:r>
    </w:p>
    <w:p>
      <w:pPr>
        <w:tabs>
          <w:tab w:val="left" w:pos="0"/>
        </w:tabs>
        <w:spacing w:line="360" w:lineRule="auto"/>
        <w:ind w:firstLine="480" w:firstLineChars="200"/>
      </w:pPr>
      <w:r>
        <w:rPr>
          <w:rFonts w:hint="eastAsia" w:ascii="宋体" w:cs="宋体"/>
        </w:rPr>
        <w:t>9、乙方在合同履行期间，不得转包、分包，否则甲方有权单方面终止本合同，并承担由此给甲方造成的一切损失。</w:t>
      </w:r>
    </w:p>
    <w:p>
      <w:pPr>
        <w:tabs>
          <w:tab w:val="left" w:pos="0"/>
        </w:tabs>
        <w:spacing w:line="360" w:lineRule="auto"/>
        <w:ind w:firstLine="480" w:firstLineChars="200"/>
        <w:rPr>
          <w:rFonts w:ascii="宋体" w:cs="宋体"/>
        </w:rPr>
      </w:pPr>
      <w:r>
        <w:rPr>
          <w:rFonts w:hint="eastAsia" w:ascii="宋体" w:cs="宋体"/>
        </w:rPr>
        <w:t>10、乙方除不可抗力因素外（塞车不属于不可抗力因素），不得因其他任何理由延迟送货，因乙方延误配送时间的（甲方要求推迟的除外），甲方有权自行采购，并由乙方承担由此产生的一切损失和费用。</w:t>
      </w:r>
    </w:p>
    <w:p>
      <w:pPr>
        <w:tabs>
          <w:tab w:val="left" w:pos="0"/>
        </w:tabs>
        <w:spacing w:line="360" w:lineRule="auto"/>
        <w:ind w:firstLine="480" w:firstLineChars="200"/>
        <w:rPr>
          <w:rFonts w:ascii="宋体" w:cs="宋体"/>
        </w:rPr>
      </w:pPr>
      <w:r>
        <w:rPr>
          <w:rFonts w:hint="eastAsia" w:ascii="宋体" w:cs="宋体"/>
        </w:rPr>
        <w:t>11、甲方须按合同约定向乙方支付服务款项，因甲方原因延迟支付的，每延迟1日，向乙方支付该批次服务款项千分之一的违约金，违约金累计不超过该批次服务款项的百分之一，可从甲方向乙方支付的服务款项中扣除，因不可抗力因素导致延迟支付的不承担延迟支付责任。</w:t>
      </w:r>
    </w:p>
    <w:p>
      <w:pPr>
        <w:tabs>
          <w:tab w:val="left" w:pos="0"/>
        </w:tabs>
        <w:spacing w:line="360" w:lineRule="auto"/>
        <w:ind w:firstLine="480" w:firstLineChars="200"/>
        <w:rPr>
          <w:rFonts w:ascii="宋体" w:cs="宋体"/>
        </w:rPr>
      </w:pPr>
      <w:r>
        <w:rPr>
          <w:rFonts w:hint="eastAsia" w:ascii="宋体" w:cs="宋体"/>
        </w:rPr>
        <w:t>12、如一方遇特殊情况需要终止执行本合同时，必须提前15个工作日以书面形式通知对方，双方协商解决。</w:t>
      </w:r>
    </w:p>
    <w:p>
      <w:pPr>
        <w:tabs>
          <w:tab w:val="left" w:pos="0"/>
        </w:tabs>
        <w:spacing w:line="360" w:lineRule="auto"/>
        <w:ind w:firstLine="480" w:firstLineChars="200"/>
        <w:rPr>
          <w:rFonts w:ascii="宋体" w:cs="宋体"/>
        </w:rPr>
      </w:pPr>
      <w:r>
        <w:rPr>
          <w:rFonts w:hint="eastAsia" w:ascii="宋体" w:cs="宋体"/>
        </w:rPr>
        <w:t>13、合同履行期间，如因乙方原因导致合同提前终止的，履约保证金不退还给乙方。</w:t>
      </w:r>
    </w:p>
    <w:p>
      <w:pPr>
        <w:tabs>
          <w:tab w:val="left" w:pos="0"/>
        </w:tabs>
        <w:spacing w:line="360" w:lineRule="auto"/>
        <w:ind w:firstLine="480" w:firstLineChars="200"/>
        <w:rPr>
          <w:rFonts w:ascii="宋体" w:cs="宋体"/>
        </w:rPr>
      </w:pPr>
      <w:r>
        <w:rPr>
          <w:rFonts w:hint="eastAsia" w:ascii="宋体" w:cs="宋体"/>
        </w:rPr>
        <w:t>14、其它违约责任按《中华人民共和国民法典》有关法律文件的规定处理。</w:t>
      </w:r>
    </w:p>
    <w:p>
      <w:pPr>
        <w:numPr>
          <w:ilvl w:val="0"/>
          <w:numId w:val="3"/>
        </w:numPr>
        <w:tabs>
          <w:tab w:val="left" w:pos="525"/>
          <w:tab w:val="left" w:pos="704"/>
          <w:tab w:val="left" w:pos="846"/>
          <w:tab w:val="left" w:pos="3398"/>
        </w:tabs>
        <w:autoSpaceDE w:val="0"/>
        <w:autoSpaceDN w:val="0"/>
        <w:adjustRightInd w:val="0"/>
        <w:spacing w:before="156" w:line="360" w:lineRule="auto"/>
        <w:ind w:left="522" w:hanging="420"/>
        <w:outlineLvl w:val="1"/>
        <w:rPr>
          <w:rFonts w:ascii="宋体" w:cs="宋体"/>
          <w:b/>
          <w:bCs/>
        </w:rPr>
      </w:pPr>
      <w:r>
        <w:rPr>
          <w:rFonts w:hint="eastAsia" w:ascii="宋体" w:cs="宋体"/>
          <w:b/>
          <w:bCs/>
        </w:rPr>
        <w:t>其它约定事宜</w:t>
      </w:r>
    </w:p>
    <w:p>
      <w:pPr>
        <w:snapToGrid w:val="0"/>
        <w:spacing w:line="360" w:lineRule="auto"/>
        <w:ind w:firstLine="480" w:firstLineChars="200"/>
        <w:rPr>
          <w:rFonts w:ascii="宋体"/>
        </w:rPr>
      </w:pPr>
      <w:r>
        <w:rPr>
          <w:rFonts w:hint="eastAsia" w:ascii="宋体"/>
        </w:rPr>
        <w:t>1、在送货期间，乙方须佩戴相关证件，遵守甲方有关规定，注意保持甲方场地卫生，不得在甲方公共场所大声喧哗等。</w:t>
      </w:r>
    </w:p>
    <w:p>
      <w:pPr>
        <w:snapToGrid w:val="0"/>
        <w:spacing w:line="360" w:lineRule="auto"/>
        <w:ind w:firstLine="480" w:firstLineChars="200"/>
      </w:pPr>
      <w:r>
        <w:rPr>
          <w:rFonts w:hint="eastAsia" w:ascii="宋体"/>
        </w:rPr>
        <w:t>2、乙方实行跟进式配送服务，派专人在甲方现场，随时满足甲方需要。</w:t>
      </w:r>
    </w:p>
    <w:p>
      <w:pPr>
        <w:snapToGrid w:val="0"/>
        <w:spacing w:line="360" w:lineRule="auto"/>
        <w:ind w:firstLine="480" w:firstLineChars="200"/>
        <w:rPr>
          <w:rFonts w:ascii="宋体"/>
        </w:rPr>
      </w:pPr>
      <w:r>
        <w:rPr>
          <w:rFonts w:hint="eastAsia" w:ascii="宋体"/>
        </w:rPr>
        <w:t>3、在本合同执行过程中若发生纠纷，双方协商解决。协商解决不成，可向甲方所在地人民法院起诉。</w:t>
      </w:r>
    </w:p>
    <w:p>
      <w:pPr>
        <w:snapToGrid w:val="0"/>
        <w:spacing w:line="360" w:lineRule="auto"/>
        <w:ind w:firstLine="480" w:firstLineChars="200"/>
        <w:rPr>
          <w:rFonts w:ascii="宋体"/>
        </w:rPr>
      </w:pPr>
      <w:r>
        <w:rPr>
          <w:rFonts w:hint="eastAsia" w:ascii="宋体"/>
        </w:rPr>
        <w:t>4、本合同自甲、乙双方签字并盖章后生效。</w:t>
      </w:r>
    </w:p>
    <w:p>
      <w:pPr>
        <w:snapToGrid w:val="0"/>
        <w:spacing w:line="360" w:lineRule="auto"/>
        <w:ind w:firstLine="480" w:firstLineChars="200"/>
        <w:rPr>
          <w:rFonts w:ascii="宋体" w:cs="Times New Roman"/>
        </w:rPr>
      </w:pPr>
      <w:r>
        <w:rPr>
          <w:rFonts w:hint="eastAsia" w:ascii="宋体"/>
        </w:rPr>
        <w:t>5、本合同一式捌份，甲、乙双方各执肆份，具同等法律效力，双方协商签订的补充协议与本合同具有同等法律效力。</w:t>
      </w:r>
    </w:p>
    <w:p>
      <w:pPr>
        <w:snapToGrid w:val="0"/>
        <w:spacing w:line="360" w:lineRule="auto"/>
        <w:ind w:firstLine="480" w:firstLineChars="200"/>
        <w:rPr>
          <w:rFonts w:ascii="宋体" w:cs="Times New Roman"/>
        </w:rPr>
      </w:pPr>
      <w:r>
        <w:rPr>
          <w:rFonts w:hint="eastAsia" w:ascii="宋体" w:cs="Times New Roman"/>
        </w:rPr>
        <w:t>6、招标文件、投标文件及报价单作为合同附件，合同附件和本合同具有同等法律效力。</w:t>
      </w:r>
    </w:p>
    <w:p>
      <w:pPr>
        <w:snapToGrid w:val="0"/>
        <w:spacing w:line="360" w:lineRule="auto"/>
        <w:ind w:firstLine="480" w:firstLineChars="200"/>
        <w:rPr>
          <w:rFonts w:ascii="宋体" w:cs="Times New Roman"/>
        </w:rPr>
      </w:pPr>
      <w:r>
        <w:rPr>
          <w:rFonts w:hint="eastAsia" w:ascii="宋体" w:cs="Times New Roman"/>
        </w:rPr>
        <w:t>7、本合同内容与合同附件不一致的，以合同约定为准。</w:t>
      </w:r>
    </w:p>
    <w:p>
      <w:pPr>
        <w:snapToGrid w:val="0"/>
        <w:spacing w:line="360" w:lineRule="auto"/>
        <w:ind w:firstLine="600" w:firstLineChars="250"/>
        <w:rPr>
          <w:rFonts w:ascii="宋体"/>
        </w:rPr>
      </w:pPr>
      <w:r>
        <w:rPr>
          <w:rFonts w:hint="eastAsia" w:ascii="宋体"/>
        </w:rPr>
        <w:t>合同附件：</w:t>
      </w:r>
    </w:p>
    <w:p>
      <w:pPr>
        <w:snapToGrid w:val="0"/>
        <w:spacing w:line="360" w:lineRule="auto"/>
        <w:ind w:firstLine="600" w:firstLineChars="250"/>
        <w:rPr>
          <w:rFonts w:ascii="宋体"/>
        </w:rPr>
      </w:pPr>
      <w:r>
        <w:rPr>
          <w:rFonts w:hint="eastAsia" w:ascii="宋体"/>
        </w:rPr>
        <w:t>附件一：《采购需求》</w:t>
      </w:r>
    </w:p>
    <w:p>
      <w:pPr>
        <w:snapToGrid w:val="0"/>
        <w:spacing w:line="360" w:lineRule="auto"/>
        <w:ind w:firstLine="600" w:firstLineChars="250"/>
        <w:rPr>
          <w:rFonts w:ascii="宋体"/>
        </w:rPr>
      </w:pPr>
      <w:r>
        <w:rPr>
          <w:rFonts w:hint="eastAsia" w:ascii="宋体"/>
        </w:rPr>
        <w:t>附件二：《月度考核评分表》</w:t>
      </w:r>
    </w:p>
    <w:p>
      <w:pPr>
        <w:snapToGrid w:val="0"/>
        <w:spacing w:line="360" w:lineRule="auto"/>
        <w:ind w:firstLine="600" w:firstLineChars="250"/>
        <w:rPr>
          <w:rFonts w:ascii="宋体"/>
        </w:rPr>
      </w:pPr>
      <w:r>
        <w:rPr>
          <w:rFonts w:hint="eastAsia" w:ascii="宋体"/>
        </w:rPr>
        <w:t xml:space="preserve">（以下无正文） </w:t>
      </w:r>
    </w:p>
    <w:p>
      <w:pPr>
        <w:pStyle w:val="10"/>
      </w:pPr>
    </w:p>
    <w:p>
      <w:pPr>
        <w:snapToGrid w:val="0"/>
        <w:spacing w:line="360" w:lineRule="auto"/>
        <w:rPr>
          <w:rFonts w:ascii="宋体" w:cs="宋体"/>
          <w:b/>
          <w:bCs/>
          <w:szCs w:val="21"/>
        </w:rPr>
      </w:pPr>
      <w:r>
        <w:rPr>
          <w:rFonts w:hint="eastAsia" w:ascii="宋体" w:cs="宋体"/>
          <w:b/>
          <w:bCs/>
          <w:szCs w:val="21"/>
        </w:rPr>
        <w:t xml:space="preserve">甲方：                                 乙方： </w:t>
      </w:r>
    </w:p>
    <w:p>
      <w:pPr>
        <w:snapToGrid w:val="0"/>
        <w:spacing w:line="360" w:lineRule="auto"/>
        <w:rPr>
          <w:rFonts w:ascii="宋体" w:cs="宋体"/>
          <w:b/>
          <w:bCs/>
          <w:szCs w:val="21"/>
        </w:rPr>
      </w:pPr>
      <w:r>
        <w:rPr>
          <w:rFonts w:hint="eastAsia" w:ascii="宋体" w:cs="宋体"/>
          <w:b/>
          <w:bCs/>
          <w:szCs w:val="21"/>
        </w:rPr>
        <w:t xml:space="preserve">地址：                                 地址： </w:t>
      </w:r>
    </w:p>
    <w:p>
      <w:pPr>
        <w:snapToGrid w:val="0"/>
        <w:spacing w:line="360" w:lineRule="auto"/>
        <w:rPr>
          <w:rFonts w:ascii="宋体" w:cs="宋体"/>
          <w:b/>
          <w:bCs/>
          <w:szCs w:val="21"/>
        </w:rPr>
      </w:pPr>
      <w:r>
        <w:rPr>
          <w:rFonts w:hint="eastAsia" w:ascii="宋体" w:cs="宋体"/>
          <w:b/>
          <w:bCs/>
          <w:szCs w:val="21"/>
        </w:rPr>
        <w:t xml:space="preserve">法人代表人或授权代表签字：             法人代表人或授权代表签字：  </w:t>
      </w:r>
    </w:p>
    <w:p>
      <w:pPr>
        <w:snapToGrid w:val="0"/>
        <w:spacing w:line="360" w:lineRule="auto"/>
        <w:rPr>
          <w:rFonts w:ascii="宋体" w:cs="宋体"/>
          <w:b/>
          <w:bCs/>
          <w:szCs w:val="21"/>
        </w:rPr>
      </w:pPr>
      <w:r>
        <w:rPr>
          <w:rFonts w:hint="eastAsia" w:ascii="宋体" w:cs="宋体"/>
          <w:b/>
          <w:bCs/>
          <w:szCs w:val="21"/>
        </w:rPr>
        <w:t xml:space="preserve">电    话：                            电 话： </w:t>
      </w:r>
    </w:p>
    <w:p>
      <w:pPr>
        <w:snapToGrid w:val="0"/>
        <w:spacing w:line="360" w:lineRule="auto"/>
        <w:rPr>
          <w:rFonts w:ascii="宋体" w:cs="宋体"/>
          <w:b/>
          <w:bCs/>
          <w:szCs w:val="21"/>
        </w:rPr>
      </w:pPr>
      <w:r>
        <w:rPr>
          <w:rFonts w:hint="eastAsia" w:ascii="宋体" w:cs="宋体"/>
          <w:b/>
          <w:bCs/>
          <w:szCs w:val="21"/>
        </w:rPr>
        <w:t xml:space="preserve">开户银行：                            开户银行： </w:t>
      </w:r>
    </w:p>
    <w:p>
      <w:pPr>
        <w:snapToGrid w:val="0"/>
        <w:spacing w:line="360" w:lineRule="auto"/>
        <w:rPr>
          <w:rFonts w:ascii="宋体" w:cs="宋体"/>
          <w:b/>
          <w:bCs/>
          <w:szCs w:val="21"/>
        </w:rPr>
      </w:pPr>
      <w:r>
        <w:rPr>
          <w:rFonts w:hint="eastAsia" w:ascii="宋体" w:cs="宋体"/>
          <w:b/>
          <w:bCs/>
          <w:szCs w:val="21"/>
        </w:rPr>
        <w:t xml:space="preserve">账  号：                              账  号： </w:t>
      </w:r>
    </w:p>
    <w:p>
      <w:pPr>
        <w:snapToGrid w:val="0"/>
        <w:spacing w:line="360" w:lineRule="auto"/>
        <w:rPr>
          <w:rFonts w:ascii="宋体"/>
          <w:b/>
          <w:bCs/>
        </w:rPr>
      </w:pPr>
    </w:p>
    <w:p>
      <w:pPr>
        <w:snapToGrid w:val="0"/>
        <w:spacing w:line="360" w:lineRule="auto"/>
        <w:ind w:left="1200" w:hanging="1200" w:hangingChars="500"/>
        <w:rPr>
          <w:rFonts w:ascii="宋体"/>
        </w:rPr>
      </w:pPr>
      <w:r>
        <w:rPr>
          <w:rFonts w:hint="eastAsia" w:ascii="宋体"/>
        </w:rPr>
        <w:t>签订地点：广 州 市</w:t>
      </w:r>
    </w:p>
    <w:p>
      <w:pPr>
        <w:snapToGrid w:val="0"/>
        <w:spacing w:line="360" w:lineRule="auto"/>
        <w:rPr>
          <w:rFonts w:ascii="宋体"/>
        </w:rPr>
      </w:pPr>
      <w:r>
        <w:rPr>
          <w:rFonts w:hint="eastAsia" w:ascii="宋体"/>
        </w:rPr>
        <w:t>签订时间：     年   月    日</w:t>
      </w:r>
    </w:p>
    <w:p>
      <w:pPr>
        <w:pStyle w:val="10"/>
      </w:pPr>
    </w:p>
    <w:p>
      <w:pPr>
        <w:pStyle w:val="24"/>
      </w:pPr>
      <w:r>
        <w:br w:type="page"/>
      </w:r>
    </w:p>
    <w:p>
      <w:pPr>
        <w:pStyle w:val="75"/>
        <w:jc w:val="center"/>
        <w:rPr>
          <w:rFonts w:ascii="宋体" w:cs="宋体"/>
          <w:b/>
          <w:sz w:val="48"/>
        </w:rPr>
      </w:pPr>
      <w:r>
        <w:rPr>
          <w:rFonts w:ascii="宋体" w:cs="宋体"/>
          <w:b/>
          <w:sz w:val="48"/>
        </w:rPr>
        <w:t>第四章 开标、评标和定标</w:t>
      </w:r>
    </w:p>
    <w:p>
      <w:pPr>
        <w:pStyle w:val="18"/>
        <w:spacing w:before="100" w:beforeLines="0" w:line="360" w:lineRule="auto"/>
        <w:ind w:firstLine="482" w:firstLineChars="200"/>
        <w:rPr>
          <w:rFonts w:ascii="宋体"/>
          <w:szCs w:val="24"/>
        </w:rPr>
      </w:pPr>
      <w:r>
        <w:rPr>
          <w:rFonts w:hint="eastAsia" w:ascii="宋体"/>
          <w:szCs w:val="24"/>
        </w:rPr>
        <w:t>一、开标</w:t>
      </w:r>
    </w:p>
    <w:p>
      <w:pPr>
        <w:spacing w:line="360" w:lineRule="auto"/>
        <w:ind w:firstLine="480" w:firstLineChars="200"/>
        <w:rPr>
          <w:rFonts w:ascii="宋体"/>
          <w:szCs w:val="24"/>
        </w:rPr>
      </w:pPr>
      <w:r>
        <w:rPr>
          <w:rFonts w:hint="eastAsia" w:ascii="宋体"/>
          <w:szCs w:val="24"/>
        </w:rPr>
        <w:t>（一）开标程序</w:t>
      </w:r>
    </w:p>
    <w:p>
      <w:pPr>
        <w:pStyle w:val="24"/>
        <w:rPr>
          <w:shd w:val="clear" w:color="auto" w:fill="FFFFFF"/>
        </w:rPr>
      </w:pPr>
      <w:r>
        <w:rPr>
          <w:rFonts w:hint="eastAsia"/>
          <w:shd w:val="clear" w:color="auto" w:fill="FFFFFF"/>
        </w:rPr>
        <w:t xml:space="preserve"> 代理工作人员按招标公告规定的时间进行开标，由采购人或者采购代理机构工作人员宣布投标人名称、解密情况，投标价格和招标文件规定的需要宣布的其他内容（以开标一览表要求为准）。</w:t>
      </w:r>
    </w:p>
    <w:p>
      <w:pPr>
        <w:pStyle w:val="24"/>
        <w:rPr>
          <w:shd w:val="clear" w:color="auto" w:fill="FFFFFF"/>
        </w:rPr>
      </w:pPr>
      <w:r>
        <w:rPr>
          <w:rFonts w:hint="eastAsia"/>
          <w:shd w:val="clear" w:color="auto" w:fill="FFFFFF"/>
        </w:rPr>
        <w:t>投标人的法定代表人或其授权代表应当按照本招标公告载明的时间和模式等要求参加开标。在投标截止时间前30分钟，应当登录广州市政府采购中心采购综合管理平台开标大厅进行签到，并且填写授权代表的姓名与手机号码。若因签到时填写的授权代表信息有误而导致的不良后果，由供应商自行承担。</w:t>
      </w:r>
    </w:p>
    <w:p>
      <w:pPr>
        <w:pStyle w:val="24"/>
      </w:pPr>
      <w:r>
        <w:rPr>
          <w:rFonts w:hint="eastAsia"/>
          <w:shd w:val="clear" w:color="auto" w:fill="FFFFFF"/>
        </w:rPr>
        <w:t xml:space="preserve"> 开标时，投标人应当使用编制本项目（采购包）电子投标文件时加密所用</w:t>
      </w:r>
      <w:r>
        <w:rPr>
          <w:rFonts w:hint="eastAsia"/>
        </w:rPr>
        <w:t>数字证书在开始解密后按照代理机构规定的时间内完成电子投标文件的解密，如遇不可抗力等其他特殊情况，采购代理机构可视情况延长解密时间。投标人未携带数字证书或其他非系统原因导致的在规定时间内未解密投标文件，将作无效投标处理。各投标人在参加开标以前须自行对使用电脑的网络环境、驱动安装、客户端安装以及数字证书的有效性等进行检测，确保可以正常使用。</w:t>
      </w:r>
    </w:p>
    <w:p>
      <w:pPr>
        <w:pStyle w:val="24"/>
      </w:pPr>
      <w:r>
        <w:rPr>
          <w:rFonts w:hint="eastAsia"/>
        </w:rPr>
        <w:t xml:space="preserve"> 如在电子开标过程中出现无法正常解密的，代理机构可根据实际情况开启上传备用电子投标文件通道。系统将对上传的备用电子投标文件的合法性进行验证，若发现提交的备用电子投标文件与加密的电子投标文件版本不一致（即两份文件不是通过投标客户端同时加密生成的），系统将拒绝接收，视为无效投标。如供应商无法在代理规定的时间内完成备用电子投标文件的上传，投标将被拒绝，作无效投标处理。</w:t>
      </w:r>
    </w:p>
    <w:p>
      <w:pPr>
        <w:pStyle w:val="24"/>
      </w:pPr>
      <w:r>
        <w:rPr>
          <w:rFonts w:hint="eastAsia"/>
        </w:rPr>
        <w:t>（二）开标异议</w:t>
      </w:r>
    </w:p>
    <w:p>
      <w:pPr>
        <w:pStyle w:val="24"/>
      </w:pPr>
      <w:r>
        <w:rPr>
          <w:rFonts w:hint="eastAsia"/>
        </w:rPr>
        <w:t>投标人代表对开标过程和开标记录有疑义，以及认为采购人、采购代理机构相关工作人员有需要回避的情形的，应当场提出询问或者回避申请。投标人未参加开标的，视同认可开标结果。</w:t>
      </w:r>
    </w:p>
    <w:p>
      <w:pPr>
        <w:pStyle w:val="24"/>
      </w:pPr>
      <w:r>
        <w:rPr>
          <w:rFonts w:hint="eastAsia"/>
        </w:rPr>
        <w:t>（三）开标时出现下列情况的，视为投标无效处理：</w:t>
      </w:r>
    </w:p>
    <w:p>
      <w:pPr>
        <w:pStyle w:val="24"/>
      </w:pPr>
      <w:r>
        <w:rPr>
          <w:rFonts w:hint="eastAsia"/>
        </w:rPr>
        <w:t>1.经检查数字证书无效的；</w:t>
      </w:r>
    </w:p>
    <w:p>
      <w:pPr>
        <w:pStyle w:val="24"/>
      </w:pPr>
      <w:r>
        <w:rPr>
          <w:rFonts w:hint="eastAsia"/>
        </w:rPr>
        <w:t>2.因投标人自身原因，未在规定时间内完成电子投标文件解密的；</w:t>
      </w:r>
    </w:p>
    <w:p>
      <w:pPr>
        <w:pStyle w:val="24"/>
      </w:pPr>
      <w:r>
        <w:rPr>
          <w:rFonts w:hint="eastAsia"/>
        </w:rPr>
        <w:t>3.如需使用备用电子投标文件解密时，在规定的解密时间内无法提供备用电子投标文件或提供的备用电子投标文件与加密的电子投标文件版本不一致（即两份文件不是通过投标客户端同时加密生成的）。</w:t>
      </w:r>
    </w:p>
    <w:p>
      <w:pPr>
        <w:pStyle w:val="24"/>
      </w:pPr>
      <w:r>
        <w:rPr>
          <w:rFonts w:hint="eastAsia"/>
        </w:rPr>
        <w:t>二、评标委员会</w:t>
      </w:r>
    </w:p>
    <w:p>
      <w:pPr>
        <w:pStyle w:val="24"/>
      </w:pPr>
      <w:r>
        <w:rPr>
          <w:rFonts w:hint="eastAsia"/>
        </w:rPr>
        <w:t>（一）本次招标依法组建评标委员会。评标委员会由采购人的代表和从政府采购专家库随机抽取的专家组成，如采购人不派代表参加评审，则评标委员会全部由从政府采购专家库随机抽取的专家组成。评标委员会将本着公平、公正、科学、择优的原则，严格按照法律法规和招标文件设定的程序和规则推荐评审结果，任何单位和个人不得非法干预或者影响评标过程和结果。</w:t>
      </w:r>
    </w:p>
    <w:p>
      <w:pPr>
        <w:pStyle w:val="24"/>
      </w:pPr>
      <w:r>
        <w:rPr>
          <w:rFonts w:hint="eastAsia"/>
        </w:rPr>
        <w:t>（二）评标委员会成员发现本人与参加采购活动的供应商有利害关系之一的，应当主动提出回避。采购人或者采购代理机构发现评标委员会成员与参加采购活动的供应商利害关系之一的，应当要求其回避：</w:t>
      </w:r>
    </w:p>
    <w:p>
      <w:pPr>
        <w:pStyle w:val="24"/>
      </w:pPr>
      <w:r>
        <w:rPr>
          <w:rFonts w:hint="eastAsia"/>
        </w:rPr>
        <w:t>1．参加采购活动前三年内，与供应商存在劳动关系，或者担任过供应商的董事、监事，或者是供应商的控股股东或实际控制人；</w:t>
      </w:r>
    </w:p>
    <w:p>
      <w:pPr>
        <w:pStyle w:val="24"/>
      </w:pPr>
      <w:r>
        <w:rPr>
          <w:rFonts w:hint="eastAsia"/>
        </w:rPr>
        <w:t>2．与供应商的法定代表人或者负责人有夫妻、直系血亲、三代以内旁系血亲或者近姻亲关系；</w:t>
      </w:r>
    </w:p>
    <w:p>
      <w:pPr>
        <w:pStyle w:val="24"/>
      </w:pPr>
      <w:r>
        <w:rPr>
          <w:rFonts w:hint="eastAsia"/>
        </w:rPr>
        <w:t>3．任职单位与采购人或参加该采购项目供应商存在行政隶属关系；</w:t>
      </w:r>
    </w:p>
    <w:p>
      <w:pPr>
        <w:pStyle w:val="24"/>
      </w:pPr>
      <w:r>
        <w:rPr>
          <w:rFonts w:hint="eastAsia"/>
        </w:rPr>
        <w:t>4．曾经参加过该采购项目的进口产品的论证和咨询服务工作；</w:t>
      </w:r>
    </w:p>
    <w:p>
      <w:pPr>
        <w:pStyle w:val="24"/>
      </w:pPr>
      <w:r>
        <w:rPr>
          <w:rFonts w:hint="eastAsia"/>
        </w:rPr>
        <w:t>5．是参加该采购项目供应商的上级主管部门、控股或参股单位的工作人员，或与该供应商存在其他经济利益关系；</w:t>
      </w:r>
    </w:p>
    <w:p>
      <w:pPr>
        <w:pStyle w:val="24"/>
      </w:pPr>
      <w:r>
        <w:rPr>
          <w:rFonts w:hint="eastAsia"/>
        </w:rPr>
        <w:t>6．评标委员会成员之间具有配偶、近亲属关系；</w:t>
      </w:r>
    </w:p>
    <w:p>
      <w:pPr>
        <w:pStyle w:val="24"/>
      </w:pPr>
      <w:r>
        <w:rPr>
          <w:rFonts w:hint="eastAsia"/>
        </w:rPr>
        <w:t>7．法律、法规、规章规定应当回避以及其他可能影响政府采购活动公平、公正进行的关系。</w:t>
      </w:r>
    </w:p>
    <w:p>
      <w:pPr>
        <w:pStyle w:val="24"/>
      </w:pPr>
      <w:r>
        <w:rPr>
          <w:rFonts w:hint="eastAsia"/>
        </w:rPr>
        <w:t>（三）评标应遵守下列评标纪律：</w:t>
      </w:r>
    </w:p>
    <w:p>
      <w:pPr>
        <w:pStyle w:val="24"/>
      </w:pPr>
      <w:r>
        <w:rPr>
          <w:rFonts w:hint="eastAsia"/>
        </w:rPr>
        <w:t>1.评标情况不得私自外泄，有关信息由广州市政府采购中心统一对外发布。</w:t>
      </w:r>
    </w:p>
    <w:p>
      <w:pPr>
        <w:pStyle w:val="24"/>
      </w:pPr>
      <w:r>
        <w:rPr>
          <w:rFonts w:hint="eastAsia"/>
        </w:rPr>
        <w:t>2.对广州市政府采购中心或投标人提供的要求保密的资料，不得摘记翻印和外传。</w:t>
      </w:r>
    </w:p>
    <w:p>
      <w:pPr>
        <w:pStyle w:val="24"/>
      </w:pPr>
      <w:r>
        <w:rPr>
          <w:rFonts w:hint="eastAsia"/>
        </w:rPr>
        <w:t>3.不得收受投标供应商或有关人员的任何礼物，不得串联鼓动其他人袒护某投标人。若与投标人存在利害关系，则应主动声明并回避。</w:t>
      </w:r>
    </w:p>
    <w:p>
      <w:pPr>
        <w:pStyle w:val="24"/>
      </w:pPr>
      <w:r>
        <w:rPr>
          <w:rFonts w:hint="eastAsia"/>
        </w:rPr>
        <w:t>4.全体评委应按照招标文件规定进行评标，一切认定事项应查有实据且不得弄虚作假。</w:t>
      </w:r>
    </w:p>
    <w:p>
      <w:pPr>
        <w:pStyle w:val="24"/>
      </w:pPr>
      <w:r>
        <w:rPr>
          <w:rFonts w:hint="eastAsia"/>
        </w:rPr>
        <w:t>5.评标委员会各成员应当独立对每个投标人的投标文件进行评价，并对评价意见承担个人责任。评审过程中，不得发表倾向性言论。</w:t>
      </w:r>
    </w:p>
    <w:p>
      <w:pPr>
        <w:pStyle w:val="24"/>
      </w:pPr>
      <w:r>
        <w:rPr>
          <w:rFonts w:hint="eastAsia"/>
        </w:rPr>
        <w:t>※对违反评标纪律的评委，将取消其评委资格，对评标工作造成严重损失者将予以通报批评乃至追究法律责任。</w:t>
      </w:r>
    </w:p>
    <w:p>
      <w:pPr>
        <w:pStyle w:val="24"/>
      </w:pPr>
      <w:r>
        <w:rPr>
          <w:rFonts w:hint="eastAsia"/>
        </w:rPr>
        <w:t>（三）评标委员会判断投标文件的有效性、合格性和响应情况，仅依据投标人所提交一切文件的真实表述，不受与本项目无直接关联的外部信息、传言而影响自身的专业判断。</w:t>
      </w:r>
    </w:p>
    <w:p>
      <w:pPr>
        <w:pStyle w:val="24"/>
      </w:pPr>
      <w:r>
        <w:rPr>
          <w:rFonts w:hint="eastAsia"/>
        </w:rPr>
        <w:t>（四）评标委员会各成员应当独立对每个投标人的投标文件进行评价，并对评价意见承担个人责任。评标委员会成员对需要共同认定的事项存在争议的，应当按照少数服从多数的原则作出结论。持不同意见的评标委员会成员应当在评标报告上签署不同意见及理由，否则视为同意评标报告。</w:t>
      </w:r>
    </w:p>
    <w:p>
      <w:pPr>
        <w:pStyle w:val="24"/>
      </w:pPr>
      <w:r>
        <w:rPr>
          <w:rStyle w:val="33"/>
          <w:rFonts w:hint="eastAsia"/>
        </w:rPr>
        <w:t>三、评标方法</w:t>
      </w:r>
    </w:p>
    <w:p>
      <w:pPr>
        <w:pStyle w:val="24"/>
      </w:pPr>
      <w:r>
        <w:rPr>
          <w:rFonts w:hint="eastAsia"/>
        </w:rPr>
        <w:t>（一）本次评标采用综合评分法。每个采购包独立评标。评标以招标文件规定的条件为依据。评分比重构成如下：</w:t>
      </w:r>
    </w:p>
    <w:p>
      <w:pPr>
        <w:pStyle w:val="24"/>
      </w:pPr>
      <w:r>
        <w:rPr>
          <w:rFonts w:hint="eastAsia"/>
        </w:rPr>
        <w:t>采购包1：</w:t>
      </w:r>
    </w:p>
    <w:tbl>
      <w:tblPr>
        <w:tblStyle w:val="31"/>
        <w:tblW w:w="8336" w:type="dxa"/>
        <w:jc w:val="center"/>
        <w:tblBorders>
          <w:top w:val="outset" w:color="auto" w:sz="6" w:space="0"/>
          <w:left w:val="outset" w:color="auto" w:sz="6" w:space="0"/>
          <w:bottom w:val="outset" w:color="auto" w:sz="6" w:space="0"/>
          <w:right w:val="outset" w:color="auto" w:sz="6" w:space="0"/>
          <w:insideH w:val="none" w:color="auto" w:sz="0" w:space="0"/>
          <w:insideV w:val="none" w:color="auto" w:sz="0" w:space="0"/>
        </w:tblBorders>
        <w:tblLayout w:type="fixed"/>
        <w:tblCellMar>
          <w:top w:w="0" w:type="dxa"/>
          <w:left w:w="108" w:type="dxa"/>
          <w:bottom w:w="0" w:type="dxa"/>
          <w:right w:w="108" w:type="dxa"/>
        </w:tblCellMar>
      </w:tblPr>
      <w:tblGrid>
        <w:gridCol w:w="4387"/>
        <w:gridCol w:w="3949"/>
      </w:tblGrid>
      <w:tr>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0" w:type="dxa"/>
            <w:left w:w="108" w:type="dxa"/>
            <w:bottom w:w="0" w:type="dxa"/>
            <w:right w:w="108" w:type="dxa"/>
          </w:tblCellMar>
        </w:tblPrEx>
        <w:trPr>
          <w:jc w:val="center"/>
        </w:trPr>
        <w:tc>
          <w:tcPr>
            <w:tcW w:w="4387" w:type="dxa"/>
            <w:tcBorders>
              <w:top w:val="outset" w:color="auto" w:sz="6" w:space="0"/>
              <w:left w:val="outset" w:color="auto" w:sz="6" w:space="0"/>
              <w:bottom w:val="outset" w:color="auto" w:sz="6" w:space="0"/>
              <w:right w:val="outset" w:color="auto" w:sz="6" w:space="0"/>
            </w:tcBorders>
            <w:tcMar>
              <w:top w:w="15" w:type="dxa"/>
              <w:left w:w="15" w:type="dxa"/>
              <w:bottom w:w="15" w:type="dxa"/>
              <w:right w:w="15" w:type="dxa"/>
            </w:tcMar>
            <w:vAlign w:val="center"/>
          </w:tcPr>
          <w:p>
            <w:pPr>
              <w:pStyle w:val="24"/>
            </w:pPr>
            <w:r>
              <w:rPr>
                <w:rFonts w:hint="eastAsia"/>
              </w:rPr>
              <w:t>评分项目</w:t>
            </w:r>
          </w:p>
        </w:tc>
        <w:tc>
          <w:tcPr>
            <w:tcW w:w="3949" w:type="dxa"/>
            <w:tcBorders>
              <w:top w:val="outset" w:color="auto" w:sz="6" w:space="0"/>
              <w:left w:val="outset" w:color="auto" w:sz="6" w:space="0"/>
              <w:bottom w:val="outset" w:color="auto" w:sz="6" w:space="0"/>
              <w:right w:val="outset" w:color="auto" w:sz="6" w:space="0"/>
            </w:tcBorders>
            <w:tcMar>
              <w:top w:w="15" w:type="dxa"/>
              <w:left w:w="15" w:type="dxa"/>
              <w:bottom w:w="15" w:type="dxa"/>
              <w:right w:w="15" w:type="dxa"/>
            </w:tcMar>
            <w:vAlign w:val="center"/>
          </w:tcPr>
          <w:p>
            <w:pPr>
              <w:pStyle w:val="24"/>
            </w:pPr>
            <w:r>
              <w:rPr>
                <w:rFonts w:hint="eastAsia"/>
              </w:rPr>
              <w:t>分值</w:t>
            </w:r>
          </w:p>
        </w:tc>
      </w:tr>
      <w:tr>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0" w:type="dxa"/>
            <w:left w:w="108" w:type="dxa"/>
            <w:bottom w:w="0" w:type="dxa"/>
            <w:right w:w="108" w:type="dxa"/>
          </w:tblCellMar>
        </w:tblPrEx>
        <w:trPr>
          <w:trHeight w:val="90" w:hRule="atLeast"/>
          <w:jc w:val="center"/>
        </w:trPr>
        <w:tc>
          <w:tcPr>
            <w:tcW w:w="4387" w:type="dxa"/>
            <w:tcBorders>
              <w:top w:val="outset" w:color="auto" w:sz="6" w:space="0"/>
              <w:left w:val="outset" w:color="auto" w:sz="6" w:space="0"/>
              <w:bottom w:val="outset" w:color="auto" w:sz="6" w:space="0"/>
              <w:right w:val="outset" w:color="auto" w:sz="6" w:space="0"/>
            </w:tcBorders>
            <w:tcMar>
              <w:top w:w="15" w:type="dxa"/>
              <w:left w:w="15" w:type="dxa"/>
              <w:bottom w:w="15" w:type="dxa"/>
              <w:right w:w="15" w:type="dxa"/>
            </w:tcMar>
            <w:vAlign w:val="center"/>
          </w:tcPr>
          <w:p>
            <w:pPr>
              <w:pStyle w:val="24"/>
            </w:pPr>
            <w:r>
              <w:rPr>
                <w:rFonts w:hint="eastAsia"/>
              </w:rPr>
              <w:t>技术评分</w:t>
            </w:r>
          </w:p>
        </w:tc>
        <w:tc>
          <w:tcPr>
            <w:tcW w:w="3949" w:type="dxa"/>
            <w:tcBorders>
              <w:top w:val="outset" w:color="auto" w:sz="6" w:space="0"/>
              <w:left w:val="outset" w:color="auto" w:sz="6" w:space="0"/>
              <w:bottom w:val="outset" w:color="auto" w:sz="6" w:space="0"/>
              <w:right w:val="outset" w:color="auto" w:sz="6" w:space="0"/>
            </w:tcBorders>
            <w:tcMar>
              <w:top w:w="15" w:type="dxa"/>
              <w:left w:w="15" w:type="dxa"/>
              <w:bottom w:w="15" w:type="dxa"/>
              <w:right w:w="15" w:type="dxa"/>
            </w:tcMar>
            <w:vAlign w:val="center"/>
          </w:tcPr>
          <w:p>
            <w:pPr>
              <w:pStyle w:val="24"/>
            </w:pPr>
            <w:r>
              <w:rPr>
                <w:rFonts w:hint="eastAsia"/>
              </w:rPr>
              <w:t>47</w:t>
            </w:r>
          </w:p>
        </w:tc>
      </w:tr>
      <w:tr>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0" w:type="dxa"/>
            <w:left w:w="108" w:type="dxa"/>
            <w:bottom w:w="0" w:type="dxa"/>
            <w:right w:w="108" w:type="dxa"/>
          </w:tblCellMar>
        </w:tblPrEx>
        <w:trPr>
          <w:jc w:val="center"/>
        </w:trPr>
        <w:tc>
          <w:tcPr>
            <w:tcW w:w="4387" w:type="dxa"/>
            <w:tcBorders>
              <w:top w:val="outset" w:color="auto" w:sz="6" w:space="0"/>
              <w:left w:val="outset" w:color="auto" w:sz="6" w:space="0"/>
              <w:bottom w:val="outset" w:color="auto" w:sz="6" w:space="0"/>
              <w:right w:val="outset" w:color="auto" w:sz="6" w:space="0"/>
            </w:tcBorders>
            <w:tcMar>
              <w:top w:w="15" w:type="dxa"/>
              <w:left w:w="15" w:type="dxa"/>
              <w:bottom w:w="15" w:type="dxa"/>
              <w:right w:w="15" w:type="dxa"/>
            </w:tcMar>
            <w:vAlign w:val="center"/>
          </w:tcPr>
          <w:p>
            <w:pPr>
              <w:pStyle w:val="24"/>
            </w:pPr>
            <w:r>
              <w:rPr>
                <w:rFonts w:hint="eastAsia"/>
              </w:rPr>
              <w:t>商务评分</w:t>
            </w:r>
          </w:p>
        </w:tc>
        <w:tc>
          <w:tcPr>
            <w:tcW w:w="3949" w:type="dxa"/>
            <w:tcBorders>
              <w:top w:val="outset" w:color="auto" w:sz="6" w:space="0"/>
              <w:left w:val="outset" w:color="auto" w:sz="6" w:space="0"/>
              <w:bottom w:val="outset" w:color="auto" w:sz="6" w:space="0"/>
              <w:right w:val="outset" w:color="auto" w:sz="6" w:space="0"/>
            </w:tcBorders>
            <w:tcMar>
              <w:top w:w="15" w:type="dxa"/>
              <w:left w:w="15" w:type="dxa"/>
              <w:bottom w:w="15" w:type="dxa"/>
              <w:right w:w="15" w:type="dxa"/>
            </w:tcMar>
            <w:vAlign w:val="center"/>
          </w:tcPr>
          <w:p>
            <w:pPr>
              <w:pStyle w:val="24"/>
            </w:pPr>
            <w:r>
              <w:rPr>
                <w:rFonts w:hint="eastAsia"/>
              </w:rPr>
              <w:t>23</w:t>
            </w:r>
          </w:p>
        </w:tc>
      </w:tr>
      <w:tr>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0" w:type="dxa"/>
            <w:left w:w="108" w:type="dxa"/>
            <w:bottom w:w="0" w:type="dxa"/>
            <w:right w:w="108" w:type="dxa"/>
          </w:tblCellMar>
        </w:tblPrEx>
        <w:trPr>
          <w:jc w:val="center"/>
        </w:trPr>
        <w:tc>
          <w:tcPr>
            <w:tcW w:w="4387" w:type="dxa"/>
            <w:tcBorders>
              <w:top w:val="outset" w:color="auto" w:sz="6" w:space="0"/>
              <w:left w:val="outset" w:color="auto" w:sz="6" w:space="0"/>
              <w:bottom w:val="outset" w:color="auto" w:sz="6" w:space="0"/>
              <w:right w:val="outset" w:color="auto" w:sz="6" w:space="0"/>
            </w:tcBorders>
            <w:tcMar>
              <w:top w:w="15" w:type="dxa"/>
              <w:left w:w="15" w:type="dxa"/>
              <w:bottom w:w="15" w:type="dxa"/>
              <w:right w:w="15" w:type="dxa"/>
            </w:tcMar>
            <w:vAlign w:val="center"/>
          </w:tcPr>
          <w:p>
            <w:pPr>
              <w:pStyle w:val="24"/>
            </w:pPr>
            <w:r>
              <w:rPr>
                <w:rFonts w:hint="eastAsia"/>
              </w:rPr>
              <w:t>价格评分</w:t>
            </w:r>
          </w:p>
        </w:tc>
        <w:tc>
          <w:tcPr>
            <w:tcW w:w="3949" w:type="dxa"/>
            <w:tcBorders>
              <w:top w:val="outset" w:color="auto" w:sz="6" w:space="0"/>
              <w:left w:val="outset" w:color="auto" w:sz="6" w:space="0"/>
              <w:bottom w:val="outset" w:color="auto" w:sz="6" w:space="0"/>
              <w:right w:val="outset" w:color="auto" w:sz="6" w:space="0"/>
            </w:tcBorders>
            <w:tcMar>
              <w:top w:w="15" w:type="dxa"/>
              <w:left w:w="15" w:type="dxa"/>
              <w:bottom w:w="15" w:type="dxa"/>
              <w:right w:w="15" w:type="dxa"/>
            </w:tcMar>
            <w:vAlign w:val="center"/>
          </w:tcPr>
          <w:p>
            <w:pPr>
              <w:pStyle w:val="24"/>
            </w:pPr>
            <w:r>
              <w:rPr>
                <w:rFonts w:hint="eastAsia"/>
              </w:rPr>
              <w:t>30</w:t>
            </w:r>
          </w:p>
        </w:tc>
      </w:tr>
    </w:tbl>
    <w:p>
      <w:pPr>
        <w:pStyle w:val="24"/>
      </w:pPr>
    </w:p>
    <w:p>
      <w:pPr>
        <w:pStyle w:val="24"/>
      </w:pPr>
      <w:r>
        <w:rPr>
          <w:rFonts w:hint="eastAsia"/>
        </w:rPr>
        <w:t>（二）投标文件差异修正原则</w:t>
      </w:r>
    </w:p>
    <w:p>
      <w:pPr>
        <w:pStyle w:val="24"/>
      </w:pPr>
      <w:r>
        <w:rPr>
          <w:rFonts w:hint="eastAsia"/>
        </w:rPr>
        <w:t>投标文件报价出现前后不一致的，按照下列规定修正：</w:t>
      </w:r>
    </w:p>
    <w:p>
      <w:pPr>
        <w:pStyle w:val="24"/>
      </w:pPr>
      <w:r>
        <w:rPr>
          <w:rFonts w:hint="eastAsia"/>
        </w:rPr>
        <w:t>1．投标文件中开标一览表（报价表）内容与投标文件中相应内容不一致的，以开标一览表（报价表）为准；</w:t>
      </w:r>
    </w:p>
    <w:p>
      <w:pPr>
        <w:pStyle w:val="24"/>
      </w:pPr>
      <w:r>
        <w:rPr>
          <w:rFonts w:hint="eastAsia"/>
        </w:rPr>
        <w:t>2．大写金额和小写金额不一致的，以大写金额为准；</w:t>
      </w:r>
    </w:p>
    <w:p>
      <w:pPr>
        <w:pStyle w:val="24"/>
      </w:pPr>
      <w:r>
        <w:rPr>
          <w:rFonts w:hint="eastAsia"/>
        </w:rPr>
        <w:t>3．单价金额小数点或者百分比有明显错位的，以开标一览表的总价为准，并修改单价；</w:t>
      </w:r>
    </w:p>
    <w:p>
      <w:pPr>
        <w:pStyle w:val="24"/>
      </w:pPr>
      <w:r>
        <w:rPr>
          <w:rFonts w:hint="eastAsia"/>
        </w:rPr>
        <w:t>4．总价金额与按单价汇总金额不一致的，以单价金额计算结果为准；</w:t>
      </w:r>
    </w:p>
    <w:p>
      <w:pPr>
        <w:pStyle w:val="24"/>
      </w:pPr>
      <w:r>
        <w:rPr>
          <w:rFonts w:hint="eastAsia"/>
        </w:rPr>
        <w:t>5.若投标客户端上传的电子报价数据与电子投标文件价格不一致的，以电子报价数据为准。</w:t>
      </w:r>
    </w:p>
    <w:p>
      <w:pPr>
        <w:pStyle w:val="24"/>
      </w:pPr>
      <w:r>
        <w:rPr>
          <w:rFonts w:hint="eastAsia"/>
        </w:rPr>
        <w:t>6．投标文件描述内容与原始材料引述内容不一致的，以原始材料内容为准；</w:t>
      </w:r>
    </w:p>
    <w:p>
      <w:pPr>
        <w:pStyle w:val="24"/>
      </w:pPr>
      <w:r>
        <w:rPr>
          <w:rFonts w:hint="eastAsia"/>
        </w:rPr>
        <w:t>7．对不同文字文本投标文件的解释发生异议的，以中文文本为准；</w:t>
      </w:r>
    </w:p>
    <w:p>
      <w:pPr>
        <w:pStyle w:val="24"/>
      </w:pPr>
      <w:r>
        <w:rPr>
          <w:rFonts w:hint="eastAsia"/>
        </w:rPr>
        <w:t xml:space="preserve">8．评标委员会认定为表述不清晰或无法确定的报价均不予修正。 同时出现两种（含）以上不一致的，按照前款规定的顺序在系统上进行澄清。澄清后的内容加盖电子印章确认后产生约束力，但不得超出投标文件的范围或者改变投标文件的实质性内容，投标人不确认的，其投标无效。 </w:t>
      </w:r>
    </w:p>
    <w:p>
      <w:pPr>
        <w:pStyle w:val="24"/>
      </w:pPr>
      <w:r>
        <w:rPr>
          <w:rFonts w:hint="eastAsia"/>
        </w:rPr>
        <w:t>（三）投标文件的澄清、说明或补正</w:t>
      </w:r>
    </w:p>
    <w:p>
      <w:pPr>
        <w:pStyle w:val="24"/>
      </w:pPr>
      <w:r>
        <w:rPr>
          <w:rFonts w:hint="eastAsia"/>
        </w:rPr>
        <w:t>1. 对于投标文件中含义不明确、同类问题表述不一致或者有明显文字和计算错误的内容，评标委员会应当在评审过程中发起在线澄清，要求投标人针对价格或内容做出必要的澄清、说明或补正。代理机构可根据开标环节记录的授权代表人联系方式发送短信提醒或电话告知。</w:t>
      </w:r>
    </w:p>
    <w:p>
      <w:pPr>
        <w:pStyle w:val="24"/>
      </w:pPr>
      <w:r>
        <w:rPr>
          <w:rFonts w:hint="eastAsia"/>
        </w:rPr>
        <w:t>2. 投标人需登录广州市政府采购中心采购综合管理平台项目采购系统的等候大厅，在规定时间内完成澄清（响应），并加盖电子印章。投标人的澄清、说明或者补正不得超出投标文件的范围或者改变投标文件的实质性内容。</w:t>
      </w:r>
    </w:p>
    <w:p>
      <w:pPr>
        <w:pStyle w:val="24"/>
      </w:pPr>
      <w:r>
        <w:rPr>
          <w:rFonts w:hint="eastAsia"/>
        </w:rPr>
        <w:t>3.若因投标人联系方式错误未接收短信、未接听电话或超时未进行澄清（响应）造成的不利后果由供应商自行承担。投标人的澄清、说明或者补正不得超出投标文件的范围或者改变投标文件的实质性内容。</w:t>
      </w:r>
    </w:p>
    <w:p>
      <w:pPr>
        <w:pStyle w:val="24"/>
      </w:pPr>
      <w:r>
        <w:rPr>
          <w:rFonts w:hint="eastAsia"/>
        </w:rPr>
        <w:t>4. 评标委员会成员均应当阅读供应商的澄清、说明或者补正，但应独立参考澄清、说明或者补正对投标文件进行评审，整个澄清、说明或者补正的过程不得存在排斥潜在供应商的现象。评标委员会对投标人提交的澄清、说明或补正有疑问的，可以要求投标人进一步澄清、说明或补正。</w:t>
      </w:r>
    </w:p>
    <w:p>
      <w:pPr>
        <w:pStyle w:val="24"/>
      </w:pPr>
      <w:r>
        <w:rPr>
          <w:rFonts w:hint="eastAsia"/>
        </w:rPr>
        <w:t>5. 如果投标文件实质上不响应招标文件的各项要求，评标委员会将按照招标文件要求予以拒绝，不接受供应商通过修改或撤销其不符合要求的差异或保留，使之成为具有响应性的投标。</w:t>
      </w:r>
    </w:p>
    <w:p>
      <w:pPr>
        <w:pStyle w:val="24"/>
      </w:pPr>
      <w:r>
        <w:rPr>
          <w:rFonts w:hint="eastAsia"/>
        </w:rPr>
        <w:t>6. 除上述规定的情形之外，评标委员会在评审过程中，不得接收来自评审现场以外的任何形式的文件资料。</w:t>
      </w:r>
    </w:p>
    <w:p>
      <w:pPr>
        <w:widowControl/>
        <w:jc w:val="left"/>
        <w:rPr>
          <w:kern w:val="0"/>
        </w:rPr>
        <w:sectPr>
          <w:pgSz w:w="11906" w:h="16838"/>
          <w:pgMar w:top="1440" w:right="1080" w:bottom="1440" w:left="1080" w:header="851" w:footer="992" w:gutter="0"/>
          <w:cols w:space="720" w:num="1"/>
          <w:docGrid w:type="lines" w:linePitch="326" w:charSpace="0"/>
        </w:sectPr>
      </w:pPr>
    </w:p>
    <w:p>
      <w:pPr>
        <w:pStyle w:val="24"/>
        <w:numPr>
          <w:ilvl w:val="0"/>
          <w:numId w:val="4"/>
        </w:numPr>
      </w:pPr>
      <w:r>
        <w:rPr>
          <w:rStyle w:val="33"/>
          <w:rFonts w:hint="eastAsia"/>
        </w:rPr>
        <w:t>评标程序</w:t>
      </w:r>
    </w:p>
    <w:p>
      <w:pPr>
        <w:pStyle w:val="49"/>
        <w:numPr>
          <w:ilvl w:val="0"/>
          <w:numId w:val="5"/>
        </w:numPr>
      </w:pPr>
      <w:r>
        <w:rPr>
          <w:rFonts w:hint="eastAsia"/>
        </w:rPr>
        <w:t>资格审查</w:t>
      </w:r>
    </w:p>
    <w:p>
      <w:pPr>
        <w:pStyle w:val="24"/>
      </w:pPr>
      <w:r>
        <w:rPr>
          <w:rFonts w:hint="eastAsia"/>
        </w:rPr>
        <w:t>1.项目开标结束后，采购人或者采购代理机构应当依法对投标人的资格进行审查，出现不符合下列情形之一时，作无效投标处理。《资格审查表》如下：</w:t>
      </w:r>
    </w:p>
    <w:tbl>
      <w:tblPr>
        <w:tblStyle w:val="31"/>
        <w:tblW w:w="5000" w:type="pct"/>
        <w:tblInd w:w="0" w:type="dxa"/>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Layout w:type="autofit"/>
        <w:tblCellMar>
          <w:top w:w="0" w:type="dxa"/>
          <w:left w:w="108" w:type="dxa"/>
          <w:bottom w:w="0" w:type="dxa"/>
          <w:right w:w="108" w:type="dxa"/>
        </w:tblCellMar>
      </w:tblPr>
      <w:tblGrid>
        <w:gridCol w:w="715"/>
        <w:gridCol w:w="2757"/>
        <w:gridCol w:w="6490"/>
      </w:tblGrid>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c>
          <w:tcPr>
            <w:tcW w:w="359" w:type="pct"/>
          </w:tcPr>
          <w:p>
            <w:pPr>
              <w:pStyle w:val="75"/>
              <w:rPr>
                <w:rFonts w:ascii="宋体" w:cs="宋体"/>
                <w:sz w:val="24"/>
                <w:szCs w:val="24"/>
              </w:rPr>
            </w:pPr>
            <w:r>
              <w:rPr>
                <w:rFonts w:hint="eastAsia" w:ascii="宋体" w:cs="宋体"/>
                <w:sz w:val="24"/>
                <w:szCs w:val="24"/>
              </w:rPr>
              <w:t>1</w:t>
            </w:r>
          </w:p>
        </w:tc>
        <w:tc>
          <w:tcPr>
            <w:tcW w:w="1383" w:type="pct"/>
          </w:tcPr>
          <w:p>
            <w:pPr>
              <w:pStyle w:val="75"/>
              <w:rPr>
                <w:rFonts w:ascii="宋体" w:cs="宋体"/>
                <w:sz w:val="24"/>
                <w:szCs w:val="24"/>
              </w:rPr>
            </w:pPr>
            <w:r>
              <w:rPr>
                <w:rFonts w:hint="eastAsia" w:ascii="宋体" w:cs="宋体"/>
                <w:sz w:val="24"/>
                <w:szCs w:val="24"/>
              </w:rPr>
              <w:t>具有独立承担民事责任的能力</w:t>
            </w:r>
          </w:p>
        </w:tc>
        <w:tc>
          <w:tcPr>
            <w:tcW w:w="3256" w:type="pct"/>
          </w:tcPr>
          <w:p>
            <w:pPr>
              <w:pStyle w:val="75"/>
              <w:rPr>
                <w:rFonts w:ascii="宋体" w:cs="宋体"/>
                <w:sz w:val="24"/>
                <w:szCs w:val="24"/>
              </w:rPr>
            </w:pPr>
            <w:r>
              <w:rPr>
                <w:rFonts w:hint="eastAsia" w:ascii="宋体" w:cs="宋体"/>
                <w:sz w:val="24"/>
                <w:szCs w:val="24"/>
              </w:rPr>
              <w:t>依据《投标函》，以及提供以下相关证照的扫描件之一：①企业法人提供企业法人营业执照；②事业法人提供事业法人登记证；③其他组织提供其他组织的营业执照或执业许可证；④自然人提供居民身份证等。分支机构投标的，还须提供分支机构的营业执照（执业许可证）扫描件及总公司（总所）出具给分支机构的授权书。</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c>
          <w:tcPr>
            <w:tcW w:w="359" w:type="pct"/>
          </w:tcPr>
          <w:p>
            <w:pPr>
              <w:pStyle w:val="75"/>
              <w:rPr>
                <w:rFonts w:ascii="宋体" w:cs="宋体"/>
                <w:sz w:val="24"/>
                <w:szCs w:val="24"/>
              </w:rPr>
            </w:pPr>
            <w:r>
              <w:rPr>
                <w:rFonts w:hint="eastAsia" w:ascii="宋体" w:cs="宋体"/>
                <w:sz w:val="24"/>
                <w:szCs w:val="24"/>
              </w:rPr>
              <w:t>2</w:t>
            </w:r>
          </w:p>
        </w:tc>
        <w:tc>
          <w:tcPr>
            <w:tcW w:w="1383" w:type="pct"/>
            <w:tcBorders>
              <w:top w:val="single" w:color="auto" w:sz="2" w:space="0"/>
              <w:left w:val="single" w:color="auto" w:sz="2" w:space="0"/>
              <w:right w:val="single" w:color="auto" w:sz="2" w:space="0"/>
            </w:tcBorders>
          </w:tcPr>
          <w:p>
            <w:pPr>
              <w:pStyle w:val="75"/>
              <w:rPr>
                <w:rFonts w:ascii="宋体" w:cs="宋体"/>
                <w:sz w:val="24"/>
                <w:szCs w:val="24"/>
              </w:rPr>
            </w:pPr>
            <w:r>
              <w:rPr>
                <w:rFonts w:hint="eastAsia" w:ascii="宋体" w:cs="宋体"/>
                <w:sz w:val="24"/>
                <w:szCs w:val="24"/>
              </w:rPr>
              <w:t>有依法缴纳税收和社会保障资金的良好记录</w:t>
            </w:r>
          </w:p>
        </w:tc>
        <w:tc>
          <w:tcPr>
            <w:tcW w:w="3256" w:type="pct"/>
          </w:tcPr>
          <w:p>
            <w:pPr>
              <w:pStyle w:val="75"/>
              <w:rPr>
                <w:rFonts w:ascii="宋体" w:cs="宋体"/>
                <w:sz w:val="24"/>
                <w:szCs w:val="24"/>
              </w:rPr>
            </w:pPr>
            <w:r>
              <w:rPr>
                <w:rFonts w:hint="eastAsia" w:ascii="宋体" w:cs="宋体"/>
                <w:sz w:val="24"/>
                <w:szCs w:val="24"/>
              </w:rPr>
              <w:t>依据《投标函》</w:t>
            </w:r>
            <w:r>
              <w:rPr>
                <w:rFonts w:hint="eastAsia" w:ascii="宋体" w:cs="宋体"/>
                <w:sz w:val="24"/>
                <w:szCs w:val="24"/>
                <w:shd w:val="clear" w:color="auto" w:fill="FFFFFF"/>
              </w:rPr>
              <w:t>。</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c>
          <w:tcPr>
            <w:tcW w:w="359" w:type="pct"/>
          </w:tcPr>
          <w:p>
            <w:pPr>
              <w:pStyle w:val="75"/>
              <w:rPr>
                <w:rFonts w:ascii="宋体" w:cs="宋体"/>
                <w:sz w:val="24"/>
                <w:szCs w:val="24"/>
              </w:rPr>
            </w:pPr>
            <w:r>
              <w:rPr>
                <w:rFonts w:hint="eastAsia" w:ascii="宋体" w:cs="宋体"/>
                <w:sz w:val="24"/>
                <w:szCs w:val="24"/>
              </w:rPr>
              <w:t>3</w:t>
            </w:r>
          </w:p>
        </w:tc>
        <w:tc>
          <w:tcPr>
            <w:tcW w:w="1383" w:type="pct"/>
            <w:tcBorders>
              <w:top w:val="single" w:color="auto" w:sz="2" w:space="0"/>
              <w:left w:val="single" w:color="auto" w:sz="2" w:space="0"/>
              <w:right w:val="single" w:color="auto" w:sz="2" w:space="0"/>
            </w:tcBorders>
          </w:tcPr>
          <w:p>
            <w:pPr>
              <w:pStyle w:val="75"/>
              <w:rPr>
                <w:rFonts w:ascii="宋体" w:cs="宋体"/>
                <w:sz w:val="24"/>
                <w:szCs w:val="24"/>
              </w:rPr>
            </w:pPr>
            <w:r>
              <w:rPr>
                <w:rFonts w:hint="eastAsia" w:ascii="宋体" w:cs="宋体"/>
                <w:sz w:val="24"/>
                <w:szCs w:val="24"/>
              </w:rPr>
              <w:t>具有良好的商业信誉和健全的财务会计制度</w:t>
            </w:r>
          </w:p>
        </w:tc>
        <w:tc>
          <w:tcPr>
            <w:tcW w:w="3256" w:type="pct"/>
          </w:tcPr>
          <w:p>
            <w:pPr>
              <w:pStyle w:val="75"/>
              <w:rPr>
                <w:rFonts w:ascii="宋体" w:cs="宋体"/>
                <w:sz w:val="24"/>
                <w:szCs w:val="24"/>
              </w:rPr>
            </w:pPr>
            <w:r>
              <w:rPr>
                <w:rFonts w:hint="eastAsia" w:ascii="宋体" w:cs="宋体"/>
                <w:sz w:val="24"/>
                <w:szCs w:val="24"/>
              </w:rPr>
              <w:t>依据《投标函》</w:t>
            </w:r>
            <w:r>
              <w:rPr>
                <w:rFonts w:hint="eastAsia" w:ascii="宋体" w:cs="宋体"/>
                <w:sz w:val="24"/>
                <w:szCs w:val="24"/>
                <w:shd w:val="clear" w:color="auto" w:fill="FFFFFF"/>
              </w:rPr>
              <w:t>。</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c>
          <w:tcPr>
            <w:tcW w:w="359" w:type="pct"/>
          </w:tcPr>
          <w:p>
            <w:pPr>
              <w:pStyle w:val="75"/>
              <w:rPr>
                <w:rFonts w:ascii="宋体" w:cs="宋体"/>
                <w:sz w:val="24"/>
                <w:szCs w:val="24"/>
              </w:rPr>
            </w:pPr>
            <w:r>
              <w:rPr>
                <w:rFonts w:hint="eastAsia" w:ascii="宋体" w:cs="宋体"/>
                <w:sz w:val="24"/>
                <w:szCs w:val="24"/>
              </w:rPr>
              <w:t>4</w:t>
            </w:r>
          </w:p>
        </w:tc>
        <w:tc>
          <w:tcPr>
            <w:tcW w:w="1383" w:type="pct"/>
            <w:tcBorders>
              <w:top w:val="single" w:color="auto" w:sz="2" w:space="0"/>
              <w:left w:val="single" w:color="auto" w:sz="2" w:space="0"/>
              <w:right w:val="single" w:color="auto" w:sz="2" w:space="0"/>
            </w:tcBorders>
          </w:tcPr>
          <w:p>
            <w:pPr>
              <w:pStyle w:val="75"/>
              <w:rPr>
                <w:rFonts w:ascii="宋体" w:cs="宋体"/>
                <w:sz w:val="24"/>
                <w:szCs w:val="24"/>
              </w:rPr>
            </w:pPr>
            <w:r>
              <w:rPr>
                <w:rFonts w:hint="eastAsia" w:ascii="宋体" w:cs="宋体"/>
                <w:sz w:val="24"/>
                <w:szCs w:val="24"/>
              </w:rPr>
              <w:t>履行合同所必需的设备和专业技术能力</w:t>
            </w:r>
          </w:p>
        </w:tc>
        <w:tc>
          <w:tcPr>
            <w:tcW w:w="3256" w:type="pct"/>
          </w:tcPr>
          <w:p>
            <w:pPr>
              <w:pStyle w:val="75"/>
              <w:rPr>
                <w:rFonts w:ascii="宋体" w:cs="宋体"/>
                <w:sz w:val="24"/>
                <w:szCs w:val="24"/>
              </w:rPr>
            </w:pPr>
            <w:r>
              <w:rPr>
                <w:rFonts w:hint="eastAsia" w:ascii="宋体" w:cs="宋体"/>
                <w:sz w:val="24"/>
                <w:szCs w:val="24"/>
              </w:rPr>
              <w:t>依据《投标函》</w:t>
            </w:r>
            <w:r>
              <w:rPr>
                <w:rFonts w:hint="eastAsia" w:ascii="宋体" w:cs="宋体"/>
                <w:sz w:val="24"/>
                <w:szCs w:val="24"/>
                <w:shd w:val="clear" w:color="auto" w:fill="FFFFFF"/>
              </w:rPr>
              <w:t>。</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c>
          <w:tcPr>
            <w:tcW w:w="359" w:type="pct"/>
          </w:tcPr>
          <w:p>
            <w:pPr>
              <w:pStyle w:val="75"/>
              <w:rPr>
                <w:rFonts w:ascii="宋体" w:cs="宋体"/>
                <w:sz w:val="24"/>
                <w:szCs w:val="24"/>
              </w:rPr>
            </w:pPr>
            <w:r>
              <w:rPr>
                <w:rFonts w:hint="eastAsia" w:ascii="宋体" w:cs="宋体"/>
                <w:sz w:val="24"/>
                <w:szCs w:val="24"/>
              </w:rPr>
              <w:t>5</w:t>
            </w:r>
          </w:p>
        </w:tc>
        <w:tc>
          <w:tcPr>
            <w:tcW w:w="1383" w:type="pct"/>
            <w:tcBorders>
              <w:top w:val="single" w:color="auto" w:sz="2" w:space="0"/>
              <w:left w:val="single" w:color="auto" w:sz="2" w:space="0"/>
              <w:right w:val="single" w:color="auto" w:sz="2" w:space="0"/>
            </w:tcBorders>
          </w:tcPr>
          <w:p>
            <w:pPr>
              <w:pStyle w:val="75"/>
              <w:rPr>
                <w:rFonts w:ascii="宋体" w:cs="宋体"/>
                <w:sz w:val="24"/>
                <w:szCs w:val="24"/>
              </w:rPr>
            </w:pPr>
            <w:r>
              <w:rPr>
                <w:rFonts w:hint="eastAsia" w:ascii="宋体" w:cs="宋体"/>
                <w:sz w:val="24"/>
                <w:szCs w:val="24"/>
              </w:rPr>
              <w:t>参加采购活动前3年内，在经营活动中没有重大违法记录</w:t>
            </w:r>
          </w:p>
        </w:tc>
        <w:tc>
          <w:tcPr>
            <w:tcW w:w="3256" w:type="pct"/>
          </w:tcPr>
          <w:p>
            <w:pPr>
              <w:pStyle w:val="75"/>
              <w:rPr>
                <w:rFonts w:ascii="宋体" w:cs="宋体"/>
                <w:sz w:val="24"/>
                <w:szCs w:val="24"/>
              </w:rPr>
            </w:pPr>
            <w:r>
              <w:rPr>
                <w:rFonts w:hint="eastAsia" w:ascii="宋体" w:cs="宋体"/>
                <w:sz w:val="24"/>
                <w:szCs w:val="24"/>
              </w:rPr>
              <w:t>依据《投标函》</w:t>
            </w:r>
            <w:r>
              <w:rPr>
                <w:rFonts w:hint="eastAsia" w:ascii="宋体" w:cs="宋体"/>
                <w:sz w:val="24"/>
                <w:szCs w:val="24"/>
                <w:shd w:val="clear" w:color="auto" w:fill="FFFFFF"/>
              </w:rPr>
              <w:t>。</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c>
          <w:tcPr>
            <w:tcW w:w="359" w:type="pct"/>
          </w:tcPr>
          <w:p>
            <w:pPr>
              <w:pStyle w:val="75"/>
              <w:rPr>
                <w:rFonts w:ascii="宋体" w:cs="宋体"/>
                <w:sz w:val="24"/>
                <w:szCs w:val="24"/>
              </w:rPr>
            </w:pPr>
            <w:r>
              <w:rPr>
                <w:rFonts w:hint="eastAsia" w:ascii="宋体" w:cs="宋体"/>
                <w:sz w:val="24"/>
                <w:szCs w:val="24"/>
              </w:rPr>
              <w:t>6</w:t>
            </w:r>
          </w:p>
        </w:tc>
        <w:tc>
          <w:tcPr>
            <w:tcW w:w="1383" w:type="pct"/>
            <w:tcBorders>
              <w:top w:val="single" w:color="auto" w:sz="2" w:space="0"/>
              <w:left w:val="single" w:color="auto" w:sz="2" w:space="0"/>
              <w:right w:val="single" w:color="auto" w:sz="2" w:space="0"/>
            </w:tcBorders>
          </w:tcPr>
          <w:p>
            <w:pPr>
              <w:pStyle w:val="75"/>
              <w:rPr>
                <w:rFonts w:ascii="宋体" w:cs="宋体"/>
                <w:sz w:val="24"/>
                <w:szCs w:val="24"/>
              </w:rPr>
            </w:pPr>
            <w:r>
              <w:rPr>
                <w:rFonts w:hint="eastAsia" w:ascii="宋体" w:cs="宋体"/>
                <w:sz w:val="24"/>
                <w:szCs w:val="24"/>
              </w:rPr>
              <w:t>供应商必须符合法律、行政法规规定的其他条件</w:t>
            </w:r>
          </w:p>
        </w:tc>
        <w:tc>
          <w:tcPr>
            <w:tcW w:w="3256" w:type="pct"/>
          </w:tcPr>
          <w:p>
            <w:pPr>
              <w:pStyle w:val="75"/>
              <w:rPr>
                <w:rFonts w:ascii="宋体" w:cs="宋体"/>
                <w:sz w:val="24"/>
                <w:szCs w:val="24"/>
              </w:rPr>
            </w:pPr>
            <w:r>
              <w:rPr>
                <w:rFonts w:hint="eastAsia" w:ascii="宋体" w:cs="宋体"/>
                <w:sz w:val="24"/>
                <w:szCs w:val="24"/>
              </w:rPr>
              <w:t>1.本项目不接受联合体投标。 2.供应商未被列入“信用中国”网站中“记录失信被执行人或重大税收违法失信主体或政府采购严重违法失信行为”的记录名单；不处于“中国政府采购网”中“政府采购严重违法失信行为信息记录”的禁止参加政府采购活动期间（以采购代理机构或采购人于资格审查时在上述网站查询结果为准，如在上述网站查询结果均显示没有相关记录，视为没有上述不良信用记录。同时对信用信息查询记录和证据截图存档。如相关失信记录已失效，供应商须提供相关证明资料）。 3.供应商必须符合法律、行政法规规定的其他条件：依据《投标函》。</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c>
          <w:tcPr>
            <w:tcW w:w="359" w:type="pct"/>
          </w:tcPr>
          <w:p>
            <w:pPr>
              <w:pStyle w:val="75"/>
              <w:rPr>
                <w:rFonts w:ascii="宋体" w:cs="宋体"/>
                <w:sz w:val="24"/>
                <w:szCs w:val="24"/>
              </w:rPr>
            </w:pPr>
            <w:r>
              <w:rPr>
                <w:rFonts w:hint="eastAsia" w:ascii="宋体" w:cs="宋体"/>
                <w:sz w:val="24"/>
                <w:szCs w:val="24"/>
              </w:rPr>
              <w:t>7</w:t>
            </w:r>
          </w:p>
        </w:tc>
        <w:tc>
          <w:tcPr>
            <w:tcW w:w="1383" w:type="pct"/>
            <w:tcBorders>
              <w:top w:val="single" w:color="auto" w:sz="2" w:space="0"/>
              <w:left w:val="single" w:color="auto" w:sz="2" w:space="0"/>
              <w:bottom w:val="single" w:color="auto" w:sz="2" w:space="0"/>
              <w:right w:val="single" w:color="auto" w:sz="2" w:space="0"/>
            </w:tcBorders>
          </w:tcPr>
          <w:p>
            <w:pPr>
              <w:pStyle w:val="75"/>
              <w:rPr>
                <w:rFonts w:ascii="宋体" w:cs="宋体"/>
                <w:sz w:val="24"/>
                <w:szCs w:val="24"/>
              </w:rPr>
            </w:pPr>
            <w:r>
              <w:rPr>
                <w:rFonts w:hint="eastAsia" w:ascii="宋体" w:cs="宋体"/>
                <w:sz w:val="24"/>
                <w:szCs w:val="24"/>
              </w:rPr>
              <w:t>本采购包专门面向中小企业采购</w:t>
            </w:r>
          </w:p>
        </w:tc>
        <w:tc>
          <w:tcPr>
            <w:tcW w:w="3256" w:type="pct"/>
          </w:tcPr>
          <w:p>
            <w:pPr>
              <w:pStyle w:val="24"/>
              <w:rPr>
                <w:shd w:val="clear" w:color="auto" w:fill="FFFFFF"/>
              </w:rPr>
            </w:pPr>
            <w:r>
              <w:rPr>
                <w:rFonts w:hint="eastAsia"/>
                <w:shd w:val="clear" w:color="auto" w:fill="FFFFFF"/>
              </w:rPr>
              <w:t>本项目预留部分采购项目预算专门面向中小企业采购。对于预留份额，提供的服务由符合政策要求的中小企业承接。预留份额通过以下措施进行,投标人可选择以下其中一种方式参与：</w:t>
            </w:r>
          </w:p>
          <w:p>
            <w:pPr>
              <w:pStyle w:val="24"/>
              <w:rPr>
                <w:shd w:val="clear" w:color="auto" w:fill="FFFFFF"/>
              </w:rPr>
            </w:pPr>
            <w:r>
              <w:rPr>
                <w:rFonts w:hint="eastAsia"/>
                <w:shd w:val="clear" w:color="auto" w:fill="FFFFFF"/>
              </w:rPr>
              <w:t>（1）投标人不属于中小企业的，必须将本项目合同分包给一家或者两家中小企业，中小企业承担的合同份额占合同金额的比例达到30%以上（其中预留给小微企业的部分不低于合同金额的18%），接受分包合同的中小企业与分包企业之间不得存在直接控股、管理关系。【依据符合上述比例的分包意向协议书、分包意向协议书上述比例全部服务的承接方的《中小企业声明函》或由省级以上监狱管理局、戒毒管理局(含新疆生产建设兵团)出具的分包意向协议书上述比例的承接方属于监狱企业的证明文件或分包意向协议书上述比例的承接方的《残疾人福利性单位声明函》】。</w:t>
            </w:r>
          </w:p>
          <w:p>
            <w:pPr>
              <w:pStyle w:val="24"/>
              <w:rPr>
                <w:shd w:val="clear" w:color="auto" w:fill="FFFFFF"/>
              </w:rPr>
            </w:pPr>
            <w:r>
              <w:rPr>
                <w:rFonts w:hint="eastAsia"/>
                <w:shd w:val="clear" w:color="auto" w:fill="FFFFFF"/>
              </w:rPr>
              <w:t>（2）投标人属于中型企业的，必须将本项目合同分包给一家小微企业，小微企业承担的合同份额不低于合同金额的18%，接受分包合同的小微企业与分包企业之间不得存在直接控股、管理关系。【依据符合上述比例的分包意向协议书、分包意向协议书上述比例全部服务的承接方的《中小企业声明函》或由省级以上监狱管理局、戒毒管理局(含新疆生产建设兵团)出具的分包意向协议书上述比例的承接方属于监狱企业的证明文件或分包意向协议书上述比例的承接方的《残疾人福利性单位声明函》】。</w:t>
            </w:r>
          </w:p>
          <w:p>
            <w:pPr>
              <w:pStyle w:val="24"/>
              <w:rPr>
                <w:color w:val="FF0000"/>
              </w:rPr>
            </w:pPr>
            <w:r>
              <w:rPr>
                <w:rFonts w:hint="eastAsia"/>
                <w:shd w:val="clear" w:color="auto" w:fill="FFFFFF"/>
              </w:rPr>
              <w:t>（3）投标人属于小微企业的，不允许将合同分包。【依据《中小企业声明函》或由省级以上监狱管理局、戒毒管理局(含新疆生产建设兵团)出具的承接方属于监狱企业的证明文件或承接方的《残疾人福利性单位声明函》】。</w:t>
            </w:r>
          </w:p>
        </w:tc>
      </w:tr>
    </w:tbl>
    <w:p>
      <w:pPr>
        <w:pStyle w:val="24"/>
      </w:pPr>
      <w:r>
        <w:rPr>
          <w:rFonts w:hint="eastAsia"/>
        </w:rPr>
        <w:t>2.采购人或采购代理机构进行资格审查时认定供应商不合格的，应告知供应商并说明理由，采购代理机构应在资格审查报告中以书面形式解释其排除的具体原因。</w:t>
      </w:r>
    </w:p>
    <w:p>
      <w:pPr>
        <w:pStyle w:val="24"/>
      </w:pPr>
      <w:r>
        <w:rPr>
          <w:rFonts w:hint="eastAsia"/>
        </w:rPr>
        <w:t>3.不通过资格审查或投标无效的，不作符合性审查。</w:t>
      </w:r>
    </w:p>
    <w:p>
      <w:pPr>
        <w:pStyle w:val="49"/>
        <w:numPr>
          <w:ilvl w:val="0"/>
          <w:numId w:val="5"/>
        </w:numPr>
      </w:pPr>
      <w:r>
        <w:rPr>
          <w:rFonts w:hint="eastAsia"/>
        </w:rPr>
        <w:t>符合性审查</w:t>
      </w:r>
    </w:p>
    <w:p>
      <w:pPr>
        <w:pStyle w:val="24"/>
      </w:pPr>
      <w:r>
        <w:rPr>
          <w:rFonts w:hint="eastAsia"/>
        </w:rPr>
        <w:t>1.评标委员会应当对符合资格的投标人的投标文件进行符合性审查，以确定其是否满足招标文件的实质性要求，出现不符合下列情形之一时，作无效投标处理。《符合性审查表》如下：</w:t>
      </w:r>
    </w:p>
    <w:tbl>
      <w:tblPr>
        <w:tblStyle w:val="31"/>
        <w:tblW w:w="5000" w:type="pct"/>
        <w:tblInd w:w="0" w:type="dxa"/>
        <w:tblBorders>
          <w:top w:val="outset" w:color="auto" w:sz="6" w:space="0"/>
          <w:left w:val="outset" w:color="auto" w:sz="6" w:space="0"/>
          <w:bottom w:val="outset" w:color="auto" w:sz="6" w:space="0"/>
          <w:right w:val="outset" w:color="auto" w:sz="6" w:space="0"/>
          <w:insideH w:val="none" w:color="auto" w:sz="0" w:space="0"/>
          <w:insideV w:val="none" w:color="auto" w:sz="0" w:space="0"/>
        </w:tblBorders>
        <w:tblLayout w:type="autofit"/>
        <w:tblCellMar>
          <w:top w:w="0" w:type="dxa"/>
          <w:left w:w="108" w:type="dxa"/>
          <w:bottom w:w="0" w:type="dxa"/>
          <w:right w:w="108" w:type="dxa"/>
        </w:tblCellMar>
      </w:tblPr>
      <w:tblGrid>
        <w:gridCol w:w="840"/>
        <w:gridCol w:w="8936"/>
      </w:tblGrid>
      <w:tr>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0" w:type="dxa"/>
            <w:left w:w="108" w:type="dxa"/>
            <w:bottom w:w="0" w:type="dxa"/>
            <w:right w:w="108" w:type="dxa"/>
          </w:tblCellMar>
        </w:tblPrEx>
        <w:tc>
          <w:tcPr>
            <w:tcW w:w="406" w:type="pct"/>
            <w:tcBorders>
              <w:top w:val="outset" w:color="auto" w:sz="6" w:space="0"/>
              <w:left w:val="outset" w:color="auto" w:sz="6" w:space="0"/>
              <w:bottom w:val="outset" w:color="auto" w:sz="6" w:space="0"/>
              <w:right w:val="outset" w:color="auto" w:sz="6" w:space="0"/>
            </w:tcBorders>
            <w:tcMar>
              <w:top w:w="15" w:type="dxa"/>
              <w:left w:w="15" w:type="dxa"/>
              <w:bottom w:w="15" w:type="dxa"/>
              <w:right w:w="15" w:type="dxa"/>
            </w:tcMar>
            <w:vAlign w:val="center"/>
          </w:tcPr>
          <w:p>
            <w:pPr>
              <w:pStyle w:val="24"/>
            </w:pPr>
            <w:r>
              <w:rPr>
                <w:rFonts w:hint="eastAsia"/>
              </w:rPr>
              <w:t>序号</w:t>
            </w:r>
          </w:p>
        </w:tc>
        <w:tc>
          <w:tcPr>
            <w:tcW w:w="4593" w:type="pct"/>
            <w:tcBorders>
              <w:top w:val="outset" w:color="auto" w:sz="6" w:space="0"/>
              <w:left w:val="outset" w:color="auto" w:sz="6" w:space="0"/>
              <w:bottom w:val="outset" w:color="auto" w:sz="6" w:space="0"/>
              <w:right w:val="outset" w:color="auto" w:sz="6" w:space="0"/>
            </w:tcBorders>
            <w:tcMar>
              <w:top w:w="15" w:type="dxa"/>
              <w:left w:w="15" w:type="dxa"/>
              <w:bottom w:w="15" w:type="dxa"/>
              <w:right w:w="15" w:type="dxa"/>
            </w:tcMar>
            <w:vAlign w:val="center"/>
          </w:tcPr>
          <w:p>
            <w:pPr>
              <w:pStyle w:val="24"/>
            </w:pPr>
            <w:r>
              <w:rPr>
                <w:rFonts w:hint="eastAsia"/>
              </w:rPr>
              <w:t>符合性审查内容</w:t>
            </w:r>
          </w:p>
        </w:tc>
      </w:tr>
      <w:tr>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0" w:type="dxa"/>
            <w:left w:w="108" w:type="dxa"/>
            <w:bottom w:w="0" w:type="dxa"/>
            <w:right w:w="108" w:type="dxa"/>
          </w:tblCellMar>
        </w:tblPrEx>
        <w:tc>
          <w:tcPr>
            <w:tcW w:w="406" w:type="pct"/>
            <w:tcBorders>
              <w:top w:val="outset" w:color="auto" w:sz="6" w:space="0"/>
              <w:left w:val="outset" w:color="auto" w:sz="6" w:space="0"/>
              <w:bottom w:val="outset" w:color="auto" w:sz="6" w:space="0"/>
              <w:right w:val="outset" w:color="auto" w:sz="6" w:space="0"/>
            </w:tcBorders>
            <w:tcMar>
              <w:top w:w="15" w:type="dxa"/>
              <w:left w:w="225" w:type="dxa"/>
              <w:bottom w:w="15" w:type="dxa"/>
              <w:right w:w="15" w:type="dxa"/>
            </w:tcMar>
            <w:vAlign w:val="center"/>
          </w:tcPr>
          <w:p>
            <w:pPr>
              <w:pStyle w:val="24"/>
            </w:pPr>
            <w:r>
              <w:rPr>
                <w:rFonts w:hint="eastAsia"/>
              </w:rPr>
              <w:t>1</w:t>
            </w:r>
          </w:p>
        </w:tc>
        <w:tc>
          <w:tcPr>
            <w:tcW w:w="4593" w:type="pct"/>
            <w:tcBorders>
              <w:top w:val="outset" w:color="auto" w:sz="6" w:space="0"/>
              <w:left w:val="outset" w:color="auto" w:sz="6" w:space="0"/>
              <w:bottom w:val="outset" w:color="auto" w:sz="6" w:space="0"/>
              <w:right w:val="outset" w:color="auto" w:sz="6" w:space="0"/>
            </w:tcBorders>
            <w:tcMar>
              <w:top w:w="15" w:type="dxa"/>
              <w:left w:w="15" w:type="dxa"/>
              <w:bottom w:w="15" w:type="dxa"/>
              <w:right w:w="15" w:type="dxa"/>
            </w:tcMar>
            <w:vAlign w:val="center"/>
          </w:tcPr>
          <w:p>
            <w:pPr>
              <w:pStyle w:val="24"/>
            </w:pPr>
            <w:r>
              <w:rPr>
                <w:rFonts w:hint="eastAsia"/>
              </w:rPr>
              <w:t>报价确定且符合要求。</w:t>
            </w:r>
          </w:p>
        </w:tc>
      </w:tr>
      <w:tr>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0" w:type="dxa"/>
            <w:left w:w="108" w:type="dxa"/>
            <w:bottom w:w="0" w:type="dxa"/>
            <w:right w:w="108" w:type="dxa"/>
          </w:tblCellMar>
        </w:tblPrEx>
        <w:tc>
          <w:tcPr>
            <w:tcW w:w="406" w:type="pct"/>
            <w:tcBorders>
              <w:top w:val="outset" w:color="auto" w:sz="6" w:space="0"/>
              <w:left w:val="outset" w:color="auto" w:sz="6" w:space="0"/>
              <w:bottom w:val="outset" w:color="auto" w:sz="6" w:space="0"/>
              <w:right w:val="outset" w:color="auto" w:sz="6" w:space="0"/>
            </w:tcBorders>
            <w:tcMar>
              <w:top w:w="15" w:type="dxa"/>
              <w:left w:w="225" w:type="dxa"/>
              <w:bottom w:w="15" w:type="dxa"/>
              <w:right w:w="15" w:type="dxa"/>
            </w:tcMar>
            <w:vAlign w:val="center"/>
          </w:tcPr>
          <w:p>
            <w:pPr>
              <w:pStyle w:val="24"/>
            </w:pPr>
            <w:r>
              <w:rPr>
                <w:rFonts w:hint="eastAsia"/>
              </w:rPr>
              <w:t>2</w:t>
            </w:r>
          </w:p>
        </w:tc>
        <w:tc>
          <w:tcPr>
            <w:tcW w:w="4593" w:type="pct"/>
            <w:tcBorders>
              <w:top w:val="outset" w:color="auto" w:sz="6" w:space="0"/>
              <w:left w:val="outset" w:color="auto" w:sz="6" w:space="0"/>
              <w:bottom w:val="outset" w:color="auto" w:sz="6" w:space="0"/>
              <w:right w:val="outset" w:color="auto" w:sz="6" w:space="0"/>
            </w:tcBorders>
            <w:tcMar>
              <w:top w:w="15" w:type="dxa"/>
              <w:left w:w="15" w:type="dxa"/>
              <w:bottom w:w="15" w:type="dxa"/>
              <w:right w:w="15" w:type="dxa"/>
            </w:tcMar>
            <w:vAlign w:val="center"/>
          </w:tcPr>
          <w:p>
            <w:pPr>
              <w:pStyle w:val="24"/>
            </w:pPr>
            <w:r>
              <w:rPr>
                <w:rFonts w:hint="eastAsia"/>
              </w:rPr>
              <w:t>有盖章、签署要求的格式文件已按要求盖章、签署。</w:t>
            </w:r>
          </w:p>
        </w:tc>
      </w:tr>
      <w:tr>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0" w:type="dxa"/>
            <w:left w:w="108" w:type="dxa"/>
            <w:bottom w:w="0" w:type="dxa"/>
            <w:right w:w="108" w:type="dxa"/>
          </w:tblCellMar>
        </w:tblPrEx>
        <w:trPr>
          <w:trHeight w:val="1095" w:hRule="atLeast"/>
        </w:trPr>
        <w:tc>
          <w:tcPr>
            <w:tcW w:w="406" w:type="pct"/>
            <w:tcBorders>
              <w:top w:val="outset" w:color="auto" w:sz="6" w:space="0"/>
              <w:left w:val="outset" w:color="auto" w:sz="6" w:space="0"/>
              <w:bottom w:val="outset" w:color="auto" w:sz="6" w:space="0"/>
              <w:right w:val="outset" w:color="auto" w:sz="6" w:space="0"/>
            </w:tcBorders>
            <w:tcMar>
              <w:top w:w="15" w:type="dxa"/>
              <w:left w:w="225" w:type="dxa"/>
              <w:bottom w:w="15" w:type="dxa"/>
              <w:right w:w="15" w:type="dxa"/>
            </w:tcMar>
            <w:vAlign w:val="center"/>
          </w:tcPr>
          <w:p>
            <w:pPr>
              <w:pStyle w:val="24"/>
            </w:pPr>
            <w:r>
              <w:rPr>
                <w:rFonts w:hint="eastAsia"/>
              </w:rPr>
              <w:t>3</w:t>
            </w:r>
          </w:p>
        </w:tc>
        <w:tc>
          <w:tcPr>
            <w:tcW w:w="4593" w:type="pct"/>
            <w:tcBorders>
              <w:top w:val="outset" w:color="auto" w:sz="6" w:space="0"/>
              <w:left w:val="outset" w:color="auto" w:sz="6" w:space="0"/>
              <w:bottom w:val="outset" w:color="auto" w:sz="6" w:space="0"/>
              <w:right w:val="outset" w:color="auto" w:sz="6" w:space="0"/>
            </w:tcBorders>
            <w:tcMar>
              <w:top w:w="15" w:type="dxa"/>
              <w:left w:w="15" w:type="dxa"/>
              <w:bottom w:w="15" w:type="dxa"/>
              <w:right w:w="15" w:type="dxa"/>
            </w:tcMar>
            <w:vAlign w:val="center"/>
          </w:tcPr>
          <w:p>
            <w:pPr>
              <w:pStyle w:val="24"/>
            </w:pPr>
            <w:r>
              <w:rPr>
                <w:rFonts w:hint="eastAsia"/>
              </w:rPr>
              <w:t>投标文件完全满足招标文件中带★号的条款和指标(审查《实质性响应条款一览表》)</w:t>
            </w:r>
          </w:p>
        </w:tc>
      </w:tr>
      <w:tr>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0" w:type="dxa"/>
            <w:left w:w="108" w:type="dxa"/>
            <w:bottom w:w="0" w:type="dxa"/>
            <w:right w:w="108" w:type="dxa"/>
          </w:tblCellMar>
        </w:tblPrEx>
        <w:tc>
          <w:tcPr>
            <w:tcW w:w="406" w:type="pct"/>
            <w:tcBorders>
              <w:top w:val="outset" w:color="auto" w:sz="6" w:space="0"/>
              <w:left w:val="outset" w:color="auto" w:sz="6" w:space="0"/>
              <w:bottom w:val="outset" w:color="auto" w:sz="6" w:space="0"/>
              <w:right w:val="outset" w:color="auto" w:sz="6" w:space="0"/>
            </w:tcBorders>
            <w:tcMar>
              <w:top w:w="15" w:type="dxa"/>
              <w:left w:w="225" w:type="dxa"/>
              <w:bottom w:w="15" w:type="dxa"/>
              <w:right w:w="15" w:type="dxa"/>
            </w:tcMar>
            <w:vAlign w:val="center"/>
          </w:tcPr>
          <w:p>
            <w:pPr>
              <w:pStyle w:val="24"/>
            </w:pPr>
            <w:r>
              <w:rPr>
                <w:rFonts w:hint="eastAsia"/>
              </w:rPr>
              <w:t>4</w:t>
            </w:r>
          </w:p>
        </w:tc>
        <w:tc>
          <w:tcPr>
            <w:tcW w:w="4593" w:type="pct"/>
            <w:tcBorders>
              <w:top w:val="outset" w:color="auto" w:sz="6" w:space="0"/>
              <w:left w:val="outset" w:color="auto" w:sz="6" w:space="0"/>
              <w:bottom w:val="outset" w:color="auto" w:sz="6" w:space="0"/>
              <w:right w:val="outset" w:color="auto" w:sz="6" w:space="0"/>
            </w:tcBorders>
            <w:tcMar>
              <w:top w:w="15" w:type="dxa"/>
              <w:left w:w="15" w:type="dxa"/>
              <w:bottom w:w="15" w:type="dxa"/>
              <w:right w:w="15" w:type="dxa"/>
            </w:tcMar>
            <w:vAlign w:val="center"/>
          </w:tcPr>
          <w:p>
            <w:pPr>
              <w:pStyle w:val="24"/>
            </w:pPr>
            <w:r>
              <w:rPr>
                <w:rFonts w:hint="eastAsia"/>
              </w:rPr>
              <w:t>未发现属无效投标的其他情形（见表末说明）</w:t>
            </w:r>
          </w:p>
        </w:tc>
      </w:tr>
      <w:tr>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0" w:type="dxa"/>
            <w:left w:w="108" w:type="dxa"/>
            <w:bottom w:w="0" w:type="dxa"/>
            <w:right w:w="108" w:type="dxa"/>
          </w:tblCellMar>
        </w:tblPrEx>
        <w:tc>
          <w:tcPr>
            <w:tcW w:w="406" w:type="pct"/>
            <w:tcBorders>
              <w:top w:val="outset" w:color="auto" w:sz="6" w:space="0"/>
              <w:left w:val="outset" w:color="auto" w:sz="6" w:space="0"/>
              <w:bottom w:val="outset" w:color="auto" w:sz="6" w:space="0"/>
              <w:right w:val="outset" w:color="auto" w:sz="6" w:space="0"/>
            </w:tcBorders>
            <w:tcMar>
              <w:top w:w="15" w:type="dxa"/>
              <w:left w:w="225" w:type="dxa"/>
              <w:bottom w:w="15" w:type="dxa"/>
              <w:right w:w="15" w:type="dxa"/>
            </w:tcMar>
            <w:vAlign w:val="center"/>
          </w:tcPr>
          <w:p>
            <w:pPr>
              <w:pStyle w:val="24"/>
            </w:pPr>
            <w:r>
              <w:rPr>
                <w:rFonts w:hint="eastAsia"/>
              </w:rPr>
              <w:t>5</w:t>
            </w:r>
          </w:p>
        </w:tc>
        <w:tc>
          <w:tcPr>
            <w:tcW w:w="4593" w:type="pct"/>
            <w:tcBorders>
              <w:top w:val="outset" w:color="auto" w:sz="6" w:space="0"/>
              <w:left w:val="outset" w:color="auto" w:sz="6" w:space="0"/>
              <w:bottom w:val="outset" w:color="auto" w:sz="6" w:space="0"/>
              <w:right w:val="outset" w:color="auto" w:sz="6" w:space="0"/>
            </w:tcBorders>
            <w:tcMar>
              <w:top w:w="15" w:type="dxa"/>
              <w:left w:w="15" w:type="dxa"/>
              <w:bottom w:w="15" w:type="dxa"/>
              <w:right w:w="15" w:type="dxa"/>
            </w:tcMar>
            <w:vAlign w:val="center"/>
          </w:tcPr>
          <w:p>
            <w:pPr>
              <w:pStyle w:val="24"/>
              <w:rPr>
                <w:kern w:val="2"/>
              </w:rPr>
            </w:pPr>
            <w:r>
              <w:rPr>
                <w:rFonts w:hint="eastAsia"/>
                <w:kern w:val="2"/>
              </w:rPr>
              <w:t>根据投标截止后采购机构现场公布投标保证金缴纳情况判定，</w:t>
            </w:r>
            <w:r>
              <w:rPr>
                <w:rFonts w:hint="eastAsia"/>
                <w:color w:val="000000"/>
                <w:highlight w:val="white"/>
              </w:rPr>
              <w:t>采用保函、担保或保证保险等方式缴纳的，投标人应在文件中提交其佐证材料的扫描件；</w:t>
            </w:r>
            <w:r>
              <w:rPr>
                <w:rFonts w:hint="eastAsia"/>
                <w:shd w:val="clear" w:color="auto" w:fill="FFFFFF"/>
              </w:rPr>
              <w:t>采取汇款方式缴纳的，投标保证金应当从报价供应商的银行账户缴纳且在投标截止时间前到达采购机构账户内，同时将支付凭证通过投标文件一并提交，以凭证为准，否则视为无效投标；投标人在汇款时应当在备注信息中注明本项目的编号及用途（如“项目编号，投标保证金”），以便采购机构的财务人员查证入账。</w:t>
            </w:r>
          </w:p>
        </w:tc>
      </w:tr>
    </w:tbl>
    <w:p>
      <w:pPr>
        <w:pStyle w:val="24"/>
      </w:pPr>
      <w:r>
        <w:rPr>
          <w:rFonts w:hint="eastAsia"/>
        </w:rPr>
        <w:t>说明：以下为属无效投标的其他情形。</w:t>
      </w:r>
    </w:p>
    <w:p>
      <w:pPr>
        <w:pStyle w:val="24"/>
      </w:pPr>
      <w:r>
        <w:rPr>
          <w:rFonts w:hint="eastAsia"/>
        </w:rPr>
        <w:t>（1）法定代表人或单位负责人为同一个人或者存在直接控股、管理关系的不同供应商，同时参加同一采购包投标的。</w:t>
      </w:r>
    </w:p>
    <w:p>
      <w:pPr>
        <w:pStyle w:val="24"/>
      </w:pPr>
      <w:r>
        <w:rPr>
          <w:rFonts w:hint="eastAsia"/>
        </w:rPr>
        <w:t>（2）投标人为本项目提供整体设计、规范编制或者项目管理、监理、检测等服务的。</w:t>
      </w:r>
    </w:p>
    <w:p>
      <w:pPr>
        <w:pStyle w:val="24"/>
      </w:pPr>
      <w:r>
        <w:rPr>
          <w:rFonts w:hint="eastAsia"/>
        </w:rPr>
        <w:t>（3）评标期间，投标人没有按评标委员会的要求提交法定代表人或其委托代理人签字的澄清、说明、补正或改变了投标文件的实质性内容的。</w:t>
      </w:r>
    </w:p>
    <w:p>
      <w:pPr>
        <w:pStyle w:val="24"/>
      </w:pPr>
      <w:r>
        <w:rPr>
          <w:rFonts w:hint="eastAsia"/>
        </w:rPr>
        <w:t>（4）投标文件提供虚假材料的。</w:t>
      </w:r>
    </w:p>
    <w:p>
      <w:pPr>
        <w:pStyle w:val="24"/>
      </w:pPr>
      <w:r>
        <w:rPr>
          <w:rFonts w:hint="eastAsia"/>
        </w:rPr>
        <w:t>（5）投标人以他人的名义投标、串通投标、以行贿手段谋取中标或者以其他弄虚作假方式投标的。</w:t>
      </w:r>
    </w:p>
    <w:p>
      <w:pPr>
        <w:pStyle w:val="24"/>
      </w:pPr>
      <w:r>
        <w:rPr>
          <w:rFonts w:hint="eastAsia"/>
        </w:rPr>
        <w:t>（6）投标人对采购人、采购代理机构、评标委员会及其工作人员施加影响，有碍招标公平、公正的。</w:t>
      </w:r>
    </w:p>
    <w:p>
      <w:pPr>
        <w:pStyle w:val="24"/>
      </w:pPr>
      <w:r>
        <w:rPr>
          <w:rFonts w:hint="eastAsia"/>
        </w:rPr>
        <w:t>（7）投标文件含有采购人不能接受的附加条件的。</w:t>
      </w:r>
    </w:p>
    <w:p>
      <w:pPr>
        <w:pStyle w:val="24"/>
      </w:pPr>
      <w:r>
        <w:rPr>
          <w:rFonts w:hint="eastAsia"/>
        </w:rPr>
        <w:t>（8）法律、法规和招标文件规定的其他无效情形。</w:t>
      </w:r>
    </w:p>
    <w:p>
      <w:pPr>
        <w:pStyle w:val="24"/>
        <w:rPr>
          <w:shd w:val="clear" w:color="auto" w:fill="FFFFFF"/>
        </w:rPr>
      </w:pPr>
      <w:r>
        <w:rPr>
          <w:rFonts w:hint="eastAsia"/>
        </w:rPr>
        <w:t>2.评标委员会认为投标人的报价明显低于其他通过符合性审查投标人的报价，有可能影响产品质量或者不能诚信履约的，应当要求其在评标现场合理的时间内提供书面说明，并提交具体成本测算等与报价合理性相关的证明材料（包括但不限于供应商投标报价期上一年度自身生产、经营成本及相关证明材料，证明材料包括：第三方机构出具的自身生产、经营成本的审计报告等相关证明材料证明其报价合理性）</w:t>
      </w:r>
      <w:r>
        <w:rPr>
          <w:rFonts w:hint="eastAsia"/>
          <w:color w:val="000000"/>
          <w:shd w:val="clear" w:color="auto" w:fill="FFFFFF"/>
        </w:rPr>
        <w:t>及《质量保</w:t>
      </w:r>
      <w:r>
        <w:rPr>
          <w:rFonts w:hint="eastAsia"/>
          <w:shd w:val="clear" w:color="auto" w:fill="FFFFFF"/>
        </w:rPr>
        <w:t>障承诺书》；如新成立企业，只需提供《质量保障承诺书》（第五章 格式二十五）。评标委员会认为投标人不能证明其报价合理性的，或有可能影响产品质量或者不能诚信履约的，应当将其作为无效投标处理。</w:t>
      </w:r>
    </w:p>
    <w:p>
      <w:pPr>
        <w:pStyle w:val="24"/>
      </w:pPr>
      <w:r>
        <w:rPr>
          <w:rFonts w:hint="eastAsia"/>
        </w:rPr>
        <w:t>3.评标委员会进行符合性审查时发现供应商有实质性不响应招标文件的，应告知供应商并说明理由，采购代理机构应在评标报告中以书面形式解释其排除的具体原因。</w:t>
      </w:r>
    </w:p>
    <w:p>
      <w:pPr>
        <w:pStyle w:val="24"/>
      </w:pPr>
      <w:r>
        <w:rPr>
          <w:rFonts w:hint="eastAsia"/>
        </w:rPr>
        <w:t>4.不通过资格审查、符合性审查或投标无效的，不进入技术、商务和价格等的评分程序。</w:t>
      </w:r>
    </w:p>
    <w:p>
      <w:pPr>
        <w:pStyle w:val="49"/>
        <w:numPr>
          <w:ilvl w:val="0"/>
          <w:numId w:val="5"/>
        </w:numPr>
      </w:pPr>
      <w:r>
        <w:rPr>
          <w:rFonts w:hint="eastAsia"/>
        </w:rPr>
        <w:t>技术评分</w:t>
      </w:r>
    </w:p>
    <w:p>
      <w:pPr>
        <w:pStyle w:val="24"/>
        <w:numPr>
          <w:ilvl w:val="0"/>
          <w:numId w:val="6"/>
        </w:numPr>
      </w:pPr>
      <w:r>
        <w:rPr>
          <w:rFonts w:hint="eastAsia"/>
        </w:rPr>
        <w:t>由评标委员会成员对所有有效投标文件的技术和服务响应方案进行审核和分析，填写《技术评分表》，如下：</w:t>
      </w:r>
    </w:p>
    <w:tbl>
      <w:tblPr>
        <w:tblStyle w:val="31"/>
        <w:tblW w:w="9678"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796"/>
        <w:gridCol w:w="1480"/>
        <w:gridCol w:w="6678"/>
        <w:gridCol w:w="72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9" w:hRule="atLeast"/>
          <w:jc w:val="center"/>
        </w:trPr>
        <w:tc>
          <w:tcPr>
            <w:tcW w:w="796" w:type="dxa"/>
            <w:vAlign w:val="center"/>
          </w:tcPr>
          <w:p>
            <w:pPr>
              <w:adjustRightInd w:val="0"/>
              <w:snapToGrid w:val="0"/>
              <w:jc w:val="center"/>
              <w:rPr>
                <w:rFonts w:ascii="宋体" w:cs="宋体"/>
                <w:bCs/>
                <w:szCs w:val="24"/>
              </w:rPr>
            </w:pPr>
            <w:r>
              <w:rPr>
                <w:rFonts w:hint="eastAsia" w:ascii="宋体" w:cs="宋体"/>
                <w:bCs/>
                <w:szCs w:val="24"/>
              </w:rPr>
              <w:t>序号</w:t>
            </w:r>
          </w:p>
        </w:tc>
        <w:tc>
          <w:tcPr>
            <w:tcW w:w="1480" w:type="dxa"/>
            <w:vAlign w:val="center"/>
          </w:tcPr>
          <w:p>
            <w:pPr>
              <w:adjustRightInd w:val="0"/>
              <w:snapToGrid w:val="0"/>
              <w:jc w:val="center"/>
              <w:rPr>
                <w:rFonts w:ascii="宋体" w:cs="宋体"/>
                <w:bCs/>
                <w:szCs w:val="24"/>
              </w:rPr>
            </w:pPr>
            <w:r>
              <w:rPr>
                <w:rFonts w:hint="eastAsia" w:ascii="宋体" w:cs="宋体"/>
                <w:bCs/>
                <w:szCs w:val="24"/>
              </w:rPr>
              <w:t>评审项目</w:t>
            </w:r>
          </w:p>
        </w:tc>
        <w:tc>
          <w:tcPr>
            <w:tcW w:w="6678" w:type="dxa"/>
            <w:vAlign w:val="center"/>
          </w:tcPr>
          <w:p>
            <w:pPr>
              <w:adjustRightInd w:val="0"/>
              <w:snapToGrid w:val="0"/>
              <w:jc w:val="center"/>
              <w:rPr>
                <w:rFonts w:ascii="宋体" w:cs="宋体"/>
                <w:bCs/>
                <w:szCs w:val="24"/>
              </w:rPr>
            </w:pPr>
            <w:r>
              <w:rPr>
                <w:rFonts w:hint="eastAsia" w:ascii="宋体" w:cs="宋体"/>
                <w:bCs/>
                <w:szCs w:val="24"/>
              </w:rPr>
              <w:t>评审细则</w:t>
            </w:r>
          </w:p>
        </w:tc>
        <w:tc>
          <w:tcPr>
            <w:tcW w:w="724" w:type="dxa"/>
            <w:vAlign w:val="center"/>
          </w:tcPr>
          <w:p>
            <w:pPr>
              <w:adjustRightInd w:val="0"/>
              <w:snapToGrid w:val="0"/>
              <w:jc w:val="center"/>
              <w:rPr>
                <w:rFonts w:ascii="宋体" w:cs="宋体"/>
                <w:bCs/>
                <w:szCs w:val="24"/>
              </w:rPr>
            </w:pPr>
            <w:r>
              <w:rPr>
                <w:rFonts w:hint="eastAsia" w:ascii="宋体" w:cs="宋体"/>
                <w:bCs/>
                <w:szCs w:val="24"/>
              </w:rPr>
              <w:t>分值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637" w:hRule="atLeast"/>
          <w:jc w:val="center"/>
        </w:trPr>
        <w:tc>
          <w:tcPr>
            <w:tcW w:w="796" w:type="dxa"/>
            <w:vAlign w:val="center"/>
          </w:tcPr>
          <w:p>
            <w:pPr>
              <w:numPr>
                <w:ilvl w:val="0"/>
                <w:numId w:val="7"/>
              </w:numPr>
              <w:adjustRightInd w:val="0"/>
              <w:snapToGrid w:val="0"/>
              <w:jc w:val="center"/>
              <w:rPr>
                <w:rFonts w:ascii="宋体" w:cs="宋体"/>
                <w:bCs/>
                <w:szCs w:val="24"/>
              </w:rPr>
            </w:pPr>
          </w:p>
        </w:tc>
        <w:tc>
          <w:tcPr>
            <w:tcW w:w="1480" w:type="dxa"/>
            <w:tcBorders>
              <w:top w:val="single" w:color="auto" w:sz="4" w:space="0"/>
              <w:left w:val="single" w:color="auto" w:sz="4" w:space="0"/>
              <w:right w:val="single" w:color="auto" w:sz="4" w:space="0"/>
            </w:tcBorders>
          </w:tcPr>
          <w:p>
            <w:pPr>
              <w:pStyle w:val="75"/>
              <w:rPr>
                <w:rFonts w:ascii="宋体" w:cs="宋体"/>
                <w:sz w:val="24"/>
                <w:szCs w:val="24"/>
              </w:rPr>
            </w:pPr>
            <w:r>
              <w:rPr>
                <w:rFonts w:hint="eastAsia" w:ascii="宋体" w:cs="宋体"/>
                <w:sz w:val="24"/>
                <w:szCs w:val="24"/>
              </w:rPr>
              <w:t xml:space="preserve">配送方案1 </w:t>
            </w:r>
          </w:p>
        </w:tc>
        <w:tc>
          <w:tcPr>
            <w:tcW w:w="6678" w:type="dxa"/>
            <w:tcBorders>
              <w:top w:val="single" w:color="auto" w:sz="4" w:space="0"/>
              <w:left w:val="single" w:color="auto" w:sz="4" w:space="0"/>
              <w:right w:val="single" w:color="auto" w:sz="4" w:space="0"/>
            </w:tcBorders>
          </w:tcPr>
          <w:p>
            <w:pPr>
              <w:pStyle w:val="75"/>
              <w:rPr>
                <w:rFonts w:ascii="宋体" w:cs="宋体"/>
                <w:sz w:val="24"/>
                <w:szCs w:val="24"/>
              </w:rPr>
            </w:pPr>
            <w:r>
              <w:rPr>
                <w:rFonts w:hint="eastAsia" w:ascii="宋体" w:cs="宋体"/>
                <w:sz w:val="24"/>
                <w:szCs w:val="24"/>
              </w:rPr>
              <w:t>结合采购需求中的“四、食材的配送”，根据投标人针对本项目提供的配送方案进行评审： （1）能提供针对本项目的配送方案，得2分； （2）方案能包括配送载具及容器清洁维护、配送流程安排，得2分。如本项不能得满分，则对应的“方案2”评审项也不得分。</w:t>
            </w:r>
          </w:p>
        </w:tc>
        <w:tc>
          <w:tcPr>
            <w:tcW w:w="724" w:type="dxa"/>
            <w:vAlign w:val="center"/>
          </w:tcPr>
          <w:p>
            <w:pPr>
              <w:adjustRightInd w:val="0"/>
              <w:snapToGrid w:val="0"/>
              <w:jc w:val="center"/>
              <w:rPr>
                <w:rFonts w:ascii="宋体" w:cs="宋体"/>
                <w:kern w:val="0"/>
                <w:szCs w:val="24"/>
              </w:rPr>
            </w:pPr>
            <w:r>
              <w:rPr>
                <w:rFonts w:ascii="宋体" w:cs="宋体"/>
                <w:kern w:val="0"/>
                <w:szCs w:val="24"/>
              </w:rPr>
              <w:t>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87" w:hRule="atLeast"/>
          <w:jc w:val="center"/>
        </w:trPr>
        <w:tc>
          <w:tcPr>
            <w:tcW w:w="796" w:type="dxa"/>
            <w:vAlign w:val="center"/>
          </w:tcPr>
          <w:p>
            <w:pPr>
              <w:numPr>
                <w:ilvl w:val="0"/>
                <w:numId w:val="7"/>
              </w:numPr>
              <w:adjustRightInd w:val="0"/>
              <w:snapToGrid w:val="0"/>
              <w:jc w:val="center"/>
              <w:rPr>
                <w:rFonts w:ascii="宋体" w:cs="宋体"/>
                <w:bCs/>
                <w:szCs w:val="24"/>
              </w:rPr>
            </w:pPr>
          </w:p>
        </w:tc>
        <w:tc>
          <w:tcPr>
            <w:tcW w:w="1480" w:type="dxa"/>
            <w:tcBorders>
              <w:top w:val="single" w:color="auto" w:sz="4" w:space="0"/>
              <w:left w:val="single" w:color="auto" w:sz="4" w:space="0"/>
              <w:right w:val="single" w:color="auto" w:sz="4" w:space="0"/>
            </w:tcBorders>
          </w:tcPr>
          <w:p>
            <w:pPr>
              <w:pStyle w:val="75"/>
              <w:rPr>
                <w:rFonts w:ascii="宋体" w:cs="宋体"/>
                <w:sz w:val="24"/>
                <w:szCs w:val="24"/>
              </w:rPr>
            </w:pPr>
            <w:r>
              <w:rPr>
                <w:rFonts w:hint="eastAsia" w:ascii="宋体" w:cs="宋体"/>
                <w:sz w:val="24"/>
                <w:szCs w:val="24"/>
              </w:rPr>
              <w:t xml:space="preserve">配送方案2 </w:t>
            </w:r>
          </w:p>
        </w:tc>
        <w:tc>
          <w:tcPr>
            <w:tcW w:w="6678" w:type="dxa"/>
            <w:tcBorders>
              <w:top w:val="single" w:color="auto" w:sz="4" w:space="0"/>
              <w:left w:val="single" w:color="auto" w:sz="4" w:space="0"/>
              <w:right w:val="single" w:color="auto" w:sz="4" w:space="0"/>
            </w:tcBorders>
          </w:tcPr>
          <w:p>
            <w:pPr>
              <w:pStyle w:val="75"/>
              <w:rPr>
                <w:rFonts w:ascii="宋体" w:cs="宋体"/>
                <w:sz w:val="24"/>
                <w:szCs w:val="24"/>
              </w:rPr>
            </w:pPr>
            <w:r>
              <w:rPr>
                <w:rFonts w:hint="eastAsia" w:ascii="宋体" w:cs="宋体"/>
                <w:sz w:val="24"/>
                <w:szCs w:val="24"/>
              </w:rPr>
              <w:t>根据方案内容进行评审：能完全满足且优于采购需求的，得8分，能完全满足采购需求的，得4分，能部分满足采购需求的，得1分，完全不能满足采购需求的，不得分。</w:t>
            </w:r>
          </w:p>
        </w:tc>
        <w:tc>
          <w:tcPr>
            <w:tcW w:w="724" w:type="dxa"/>
            <w:vAlign w:val="center"/>
          </w:tcPr>
          <w:p>
            <w:pPr>
              <w:adjustRightInd w:val="0"/>
              <w:snapToGrid w:val="0"/>
              <w:jc w:val="center"/>
              <w:rPr>
                <w:rFonts w:ascii="宋体" w:cs="宋体"/>
                <w:bCs/>
                <w:szCs w:val="24"/>
              </w:rPr>
            </w:pPr>
            <w:r>
              <w:rPr>
                <w:rFonts w:hint="eastAsia" w:ascii="宋体" w:cs="宋体"/>
                <w:bCs/>
                <w:szCs w:val="24"/>
              </w:rPr>
              <w:t>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637" w:hRule="atLeast"/>
          <w:jc w:val="center"/>
        </w:trPr>
        <w:tc>
          <w:tcPr>
            <w:tcW w:w="796" w:type="dxa"/>
            <w:vAlign w:val="center"/>
          </w:tcPr>
          <w:p>
            <w:pPr>
              <w:numPr>
                <w:ilvl w:val="0"/>
                <w:numId w:val="7"/>
              </w:numPr>
              <w:adjustRightInd w:val="0"/>
              <w:snapToGrid w:val="0"/>
              <w:jc w:val="center"/>
              <w:rPr>
                <w:rFonts w:ascii="宋体" w:cs="宋体"/>
                <w:bCs/>
                <w:szCs w:val="24"/>
              </w:rPr>
            </w:pPr>
          </w:p>
        </w:tc>
        <w:tc>
          <w:tcPr>
            <w:tcW w:w="1480" w:type="dxa"/>
            <w:tcBorders>
              <w:top w:val="single" w:color="auto" w:sz="4" w:space="0"/>
              <w:left w:val="single" w:color="auto" w:sz="4" w:space="0"/>
              <w:right w:val="single" w:color="auto" w:sz="4" w:space="0"/>
            </w:tcBorders>
          </w:tcPr>
          <w:p>
            <w:pPr>
              <w:pStyle w:val="75"/>
              <w:rPr>
                <w:rFonts w:ascii="宋体" w:cs="宋体"/>
                <w:sz w:val="24"/>
                <w:szCs w:val="24"/>
              </w:rPr>
            </w:pPr>
            <w:r>
              <w:rPr>
                <w:rFonts w:hint="eastAsia" w:ascii="宋体" w:cs="宋体"/>
                <w:sz w:val="24"/>
                <w:szCs w:val="24"/>
              </w:rPr>
              <w:t xml:space="preserve">应急方案1 </w:t>
            </w:r>
          </w:p>
        </w:tc>
        <w:tc>
          <w:tcPr>
            <w:tcW w:w="6678" w:type="dxa"/>
            <w:tcBorders>
              <w:top w:val="single" w:color="auto" w:sz="4" w:space="0"/>
              <w:left w:val="single" w:color="auto" w:sz="4" w:space="0"/>
              <w:right w:val="single" w:color="auto" w:sz="4" w:space="0"/>
            </w:tcBorders>
          </w:tcPr>
          <w:p>
            <w:pPr>
              <w:pStyle w:val="75"/>
              <w:rPr>
                <w:rFonts w:ascii="宋体" w:cs="宋体"/>
                <w:sz w:val="24"/>
                <w:szCs w:val="24"/>
              </w:rPr>
            </w:pPr>
            <w:r>
              <w:rPr>
                <w:rFonts w:hint="eastAsia" w:ascii="宋体" w:cs="宋体"/>
                <w:sz w:val="24"/>
                <w:szCs w:val="24"/>
              </w:rPr>
              <w:t>结合采购需求中的“应急预案机制”，根据投标人针对本项目提供的应急方案进行评审： （1）能提供针对本项目的应急方案，得2分； （2）方案能包括项目执行过程中各类突发事情的应急措施，得2分。如本项不能得满分，则对应的“方案2”评审项也不得分。</w:t>
            </w:r>
          </w:p>
        </w:tc>
        <w:tc>
          <w:tcPr>
            <w:tcW w:w="724" w:type="dxa"/>
            <w:vAlign w:val="center"/>
          </w:tcPr>
          <w:p>
            <w:pPr>
              <w:adjustRightInd w:val="0"/>
              <w:snapToGrid w:val="0"/>
              <w:jc w:val="center"/>
              <w:rPr>
                <w:rFonts w:ascii="宋体" w:cs="宋体"/>
                <w:bCs/>
                <w:szCs w:val="24"/>
              </w:rPr>
            </w:pPr>
            <w:r>
              <w:rPr>
                <w:rFonts w:hint="eastAsia" w:ascii="宋体" w:cs="宋体"/>
                <w:bCs/>
                <w:szCs w:val="24"/>
              </w:rPr>
              <w:t>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87" w:hRule="atLeast"/>
          <w:jc w:val="center"/>
        </w:trPr>
        <w:tc>
          <w:tcPr>
            <w:tcW w:w="796" w:type="dxa"/>
            <w:vAlign w:val="center"/>
          </w:tcPr>
          <w:p>
            <w:pPr>
              <w:numPr>
                <w:ilvl w:val="0"/>
                <w:numId w:val="7"/>
              </w:numPr>
              <w:adjustRightInd w:val="0"/>
              <w:snapToGrid w:val="0"/>
              <w:jc w:val="center"/>
              <w:rPr>
                <w:rFonts w:ascii="宋体" w:cs="宋体"/>
                <w:bCs/>
                <w:szCs w:val="24"/>
              </w:rPr>
            </w:pPr>
          </w:p>
        </w:tc>
        <w:tc>
          <w:tcPr>
            <w:tcW w:w="1480" w:type="dxa"/>
            <w:tcBorders>
              <w:top w:val="single" w:color="auto" w:sz="4" w:space="0"/>
              <w:left w:val="single" w:color="auto" w:sz="4" w:space="0"/>
              <w:right w:val="single" w:color="auto" w:sz="4" w:space="0"/>
            </w:tcBorders>
          </w:tcPr>
          <w:p>
            <w:pPr>
              <w:pStyle w:val="75"/>
              <w:rPr>
                <w:rFonts w:ascii="宋体" w:cs="宋体"/>
                <w:sz w:val="24"/>
                <w:szCs w:val="24"/>
              </w:rPr>
            </w:pPr>
            <w:r>
              <w:rPr>
                <w:rFonts w:hint="eastAsia" w:ascii="宋体" w:cs="宋体"/>
                <w:sz w:val="24"/>
                <w:szCs w:val="24"/>
              </w:rPr>
              <w:t xml:space="preserve">应急方案2 </w:t>
            </w:r>
          </w:p>
        </w:tc>
        <w:tc>
          <w:tcPr>
            <w:tcW w:w="6678" w:type="dxa"/>
            <w:tcBorders>
              <w:top w:val="single" w:color="auto" w:sz="4" w:space="0"/>
              <w:left w:val="single" w:color="auto" w:sz="4" w:space="0"/>
              <w:right w:val="single" w:color="auto" w:sz="4" w:space="0"/>
            </w:tcBorders>
          </w:tcPr>
          <w:p>
            <w:pPr>
              <w:pStyle w:val="75"/>
              <w:rPr>
                <w:rFonts w:ascii="宋体" w:cs="宋体"/>
                <w:sz w:val="24"/>
                <w:szCs w:val="24"/>
              </w:rPr>
            </w:pPr>
            <w:r>
              <w:rPr>
                <w:rFonts w:hint="eastAsia" w:ascii="宋体" w:cs="宋体"/>
                <w:sz w:val="24"/>
                <w:szCs w:val="24"/>
              </w:rPr>
              <w:t>根据方案内容进行评审：能完全满足且优于采购需求的，得8分，能完全满足采购需求的，得4分，能部分满足采购需求的，得1分，完全不能满足采购需求的，不得分。</w:t>
            </w:r>
          </w:p>
        </w:tc>
        <w:tc>
          <w:tcPr>
            <w:tcW w:w="724" w:type="dxa"/>
            <w:vAlign w:val="center"/>
          </w:tcPr>
          <w:p>
            <w:pPr>
              <w:adjustRightInd w:val="0"/>
              <w:snapToGrid w:val="0"/>
              <w:jc w:val="center"/>
              <w:rPr>
                <w:rFonts w:ascii="宋体" w:cs="宋体"/>
                <w:bCs/>
                <w:szCs w:val="24"/>
              </w:rPr>
            </w:pPr>
            <w:r>
              <w:rPr>
                <w:rFonts w:hint="eastAsia" w:ascii="宋体" w:cs="宋体"/>
                <w:bCs/>
                <w:szCs w:val="24"/>
              </w:rPr>
              <w:t>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637" w:hRule="atLeast"/>
          <w:jc w:val="center"/>
        </w:trPr>
        <w:tc>
          <w:tcPr>
            <w:tcW w:w="796" w:type="dxa"/>
            <w:vAlign w:val="center"/>
          </w:tcPr>
          <w:p>
            <w:pPr>
              <w:numPr>
                <w:ilvl w:val="0"/>
                <w:numId w:val="7"/>
              </w:numPr>
              <w:adjustRightInd w:val="0"/>
              <w:snapToGrid w:val="0"/>
              <w:jc w:val="center"/>
              <w:rPr>
                <w:rFonts w:ascii="宋体" w:cs="宋体"/>
                <w:bCs/>
                <w:szCs w:val="24"/>
              </w:rPr>
            </w:pPr>
          </w:p>
        </w:tc>
        <w:tc>
          <w:tcPr>
            <w:tcW w:w="1480" w:type="dxa"/>
            <w:tcBorders>
              <w:top w:val="single" w:color="auto" w:sz="4" w:space="0"/>
              <w:left w:val="single" w:color="auto" w:sz="4" w:space="0"/>
              <w:right w:val="single" w:color="auto" w:sz="4" w:space="0"/>
            </w:tcBorders>
          </w:tcPr>
          <w:p>
            <w:pPr>
              <w:pStyle w:val="75"/>
              <w:rPr>
                <w:rFonts w:ascii="宋体" w:cs="宋体"/>
                <w:sz w:val="24"/>
                <w:szCs w:val="24"/>
              </w:rPr>
            </w:pPr>
            <w:r>
              <w:rPr>
                <w:rFonts w:hint="eastAsia" w:ascii="宋体" w:cs="宋体"/>
                <w:sz w:val="24"/>
                <w:szCs w:val="24"/>
              </w:rPr>
              <w:t xml:space="preserve">质量保证能力及措施1 </w:t>
            </w:r>
          </w:p>
        </w:tc>
        <w:tc>
          <w:tcPr>
            <w:tcW w:w="6678" w:type="dxa"/>
            <w:tcBorders>
              <w:top w:val="single" w:color="auto" w:sz="4" w:space="0"/>
              <w:left w:val="single" w:color="auto" w:sz="4" w:space="0"/>
              <w:right w:val="single" w:color="auto" w:sz="4" w:space="0"/>
            </w:tcBorders>
          </w:tcPr>
          <w:p>
            <w:pPr>
              <w:pStyle w:val="75"/>
              <w:rPr>
                <w:rFonts w:ascii="宋体" w:cs="宋体"/>
                <w:sz w:val="24"/>
                <w:szCs w:val="24"/>
              </w:rPr>
            </w:pPr>
            <w:r>
              <w:rPr>
                <w:rFonts w:hint="eastAsia" w:ascii="宋体" w:cs="宋体"/>
                <w:sz w:val="24"/>
                <w:szCs w:val="24"/>
              </w:rPr>
              <w:t>结合采购需求的“三、具体要求”中的质量相关要求，根据投标人针对本项目提供的质量保证能力及措施进行评审： （1）能提供针对本项目的质量保证能力及措施，得2分； （2）方案能同时包括：质量保障措施、产品质量标准的，得2分。如本项不能得满分，则对应的“方案2”评审项也不得分。</w:t>
            </w:r>
          </w:p>
        </w:tc>
        <w:tc>
          <w:tcPr>
            <w:tcW w:w="724" w:type="dxa"/>
            <w:vAlign w:val="center"/>
          </w:tcPr>
          <w:p>
            <w:pPr>
              <w:adjustRightInd w:val="0"/>
              <w:snapToGrid w:val="0"/>
              <w:jc w:val="center"/>
              <w:rPr>
                <w:rFonts w:ascii="宋体" w:cs="宋体"/>
                <w:bCs/>
                <w:szCs w:val="24"/>
              </w:rPr>
            </w:pPr>
            <w:r>
              <w:rPr>
                <w:rFonts w:hint="eastAsia" w:ascii="宋体" w:cs="宋体"/>
                <w:bCs/>
                <w:szCs w:val="24"/>
              </w:rPr>
              <w:t>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87" w:hRule="atLeast"/>
          <w:jc w:val="center"/>
        </w:trPr>
        <w:tc>
          <w:tcPr>
            <w:tcW w:w="796" w:type="dxa"/>
            <w:vAlign w:val="center"/>
          </w:tcPr>
          <w:p>
            <w:pPr>
              <w:numPr>
                <w:ilvl w:val="0"/>
                <w:numId w:val="7"/>
              </w:numPr>
              <w:adjustRightInd w:val="0"/>
              <w:snapToGrid w:val="0"/>
              <w:jc w:val="center"/>
              <w:rPr>
                <w:rFonts w:ascii="宋体" w:cs="宋体"/>
                <w:bCs/>
                <w:szCs w:val="24"/>
              </w:rPr>
            </w:pPr>
          </w:p>
        </w:tc>
        <w:tc>
          <w:tcPr>
            <w:tcW w:w="1480" w:type="dxa"/>
            <w:tcBorders>
              <w:top w:val="single" w:color="auto" w:sz="4" w:space="0"/>
              <w:left w:val="single" w:color="auto" w:sz="4" w:space="0"/>
              <w:right w:val="single" w:color="auto" w:sz="4" w:space="0"/>
            </w:tcBorders>
          </w:tcPr>
          <w:p>
            <w:pPr>
              <w:pStyle w:val="75"/>
              <w:rPr>
                <w:rFonts w:ascii="宋体" w:cs="宋体"/>
                <w:sz w:val="24"/>
                <w:szCs w:val="24"/>
              </w:rPr>
            </w:pPr>
            <w:r>
              <w:rPr>
                <w:rFonts w:hint="eastAsia" w:ascii="宋体" w:cs="宋体"/>
                <w:sz w:val="24"/>
                <w:szCs w:val="24"/>
              </w:rPr>
              <w:t xml:space="preserve">质量保证能力及措施 2 </w:t>
            </w:r>
          </w:p>
        </w:tc>
        <w:tc>
          <w:tcPr>
            <w:tcW w:w="6678" w:type="dxa"/>
            <w:tcBorders>
              <w:top w:val="single" w:color="auto" w:sz="4" w:space="0"/>
              <w:left w:val="single" w:color="auto" w:sz="4" w:space="0"/>
              <w:right w:val="single" w:color="auto" w:sz="4" w:space="0"/>
            </w:tcBorders>
          </w:tcPr>
          <w:p>
            <w:pPr>
              <w:pStyle w:val="75"/>
              <w:rPr>
                <w:rFonts w:ascii="宋体" w:cs="宋体"/>
                <w:sz w:val="24"/>
                <w:szCs w:val="24"/>
              </w:rPr>
            </w:pPr>
            <w:r>
              <w:rPr>
                <w:rFonts w:hint="eastAsia" w:ascii="宋体" w:cs="宋体"/>
                <w:sz w:val="24"/>
                <w:szCs w:val="24"/>
              </w:rPr>
              <w:t>根据方案内容进行评审：能完全满足且优于采购需求的，得8分，能完全满足采购需求的，得4分，能部分满足采购需求的，得1分，完全不能满足采购需求的，不得分。</w:t>
            </w:r>
          </w:p>
        </w:tc>
        <w:tc>
          <w:tcPr>
            <w:tcW w:w="724" w:type="dxa"/>
            <w:vAlign w:val="center"/>
          </w:tcPr>
          <w:p>
            <w:pPr>
              <w:adjustRightInd w:val="0"/>
              <w:snapToGrid w:val="0"/>
              <w:jc w:val="center"/>
              <w:rPr>
                <w:rFonts w:ascii="宋体" w:cs="宋体"/>
                <w:bCs/>
                <w:szCs w:val="24"/>
              </w:rPr>
            </w:pPr>
            <w:r>
              <w:rPr>
                <w:rFonts w:hint="eastAsia" w:ascii="宋体" w:cs="宋体"/>
                <w:bCs/>
                <w:szCs w:val="24"/>
              </w:rPr>
              <w:t>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88" w:hRule="atLeast"/>
          <w:jc w:val="center"/>
        </w:trPr>
        <w:tc>
          <w:tcPr>
            <w:tcW w:w="796" w:type="dxa"/>
            <w:vAlign w:val="center"/>
          </w:tcPr>
          <w:p>
            <w:pPr>
              <w:numPr>
                <w:ilvl w:val="0"/>
                <w:numId w:val="7"/>
              </w:numPr>
              <w:adjustRightInd w:val="0"/>
              <w:snapToGrid w:val="0"/>
              <w:jc w:val="center"/>
              <w:rPr>
                <w:rFonts w:ascii="宋体" w:cs="宋体"/>
                <w:bCs/>
                <w:szCs w:val="24"/>
              </w:rPr>
            </w:pPr>
          </w:p>
        </w:tc>
        <w:tc>
          <w:tcPr>
            <w:tcW w:w="1480" w:type="dxa"/>
            <w:tcBorders>
              <w:top w:val="single" w:color="auto" w:sz="4" w:space="0"/>
              <w:left w:val="single" w:color="auto" w:sz="4" w:space="0"/>
              <w:right w:val="single" w:color="auto" w:sz="4" w:space="0"/>
            </w:tcBorders>
          </w:tcPr>
          <w:p>
            <w:pPr>
              <w:pStyle w:val="75"/>
              <w:rPr>
                <w:rFonts w:ascii="宋体" w:cs="宋体"/>
                <w:sz w:val="24"/>
                <w:szCs w:val="24"/>
              </w:rPr>
            </w:pPr>
            <w:r>
              <w:rPr>
                <w:rFonts w:hint="eastAsia" w:ascii="宋体" w:cs="宋体"/>
                <w:sz w:val="24"/>
                <w:szCs w:val="24"/>
              </w:rPr>
              <w:t xml:space="preserve">信息化管理 </w:t>
            </w:r>
          </w:p>
        </w:tc>
        <w:tc>
          <w:tcPr>
            <w:tcW w:w="6678" w:type="dxa"/>
            <w:tcBorders>
              <w:top w:val="single" w:color="auto" w:sz="4" w:space="0"/>
              <w:left w:val="single" w:color="auto" w:sz="4" w:space="0"/>
              <w:right w:val="single" w:color="auto" w:sz="4" w:space="0"/>
            </w:tcBorders>
          </w:tcPr>
          <w:p>
            <w:pPr>
              <w:pStyle w:val="75"/>
              <w:rPr>
                <w:rFonts w:ascii="宋体" w:cs="宋体"/>
                <w:sz w:val="24"/>
                <w:szCs w:val="24"/>
              </w:rPr>
            </w:pPr>
            <w:r>
              <w:rPr>
                <w:rFonts w:hint="eastAsia" w:ascii="宋体" w:cs="宋体"/>
                <w:sz w:val="24"/>
                <w:szCs w:val="24"/>
              </w:rPr>
              <w:t xml:space="preserve">投标人拟投入本项目使用食材流通追溯管理平台（名称可有差异，实质性内容满足即符合得分要求），具有可供采购人下单功能的得2.5分，具有食材溯源功能的得2.5分，最高得5分； </w:t>
            </w:r>
          </w:p>
          <w:p>
            <w:pPr>
              <w:pStyle w:val="75"/>
              <w:rPr>
                <w:rFonts w:ascii="宋体" w:cs="宋体"/>
                <w:sz w:val="24"/>
                <w:szCs w:val="24"/>
              </w:rPr>
            </w:pPr>
            <w:r>
              <w:rPr>
                <w:rFonts w:hint="eastAsia" w:ascii="宋体" w:cs="宋体"/>
                <w:sz w:val="24"/>
                <w:szCs w:val="24"/>
              </w:rPr>
              <w:t xml:space="preserve"> 注：须提供系统功能截图以及著作权人为投标人的计算机软件著作权登记证书扫描件。若著作权人非投标人自有，则须提供系统功能截图以及购买合同（或租赁合同或合作开发协议扫描件），不提供不得分。</w:t>
            </w:r>
          </w:p>
        </w:tc>
        <w:tc>
          <w:tcPr>
            <w:tcW w:w="724" w:type="dxa"/>
            <w:vAlign w:val="center"/>
          </w:tcPr>
          <w:p>
            <w:pPr>
              <w:adjustRightInd w:val="0"/>
              <w:snapToGrid w:val="0"/>
              <w:jc w:val="center"/>
              <w:rPr>
                <w:rFonts w:ascii="宋体" w:cs="宋体"/>
                <w:bCs/>
                <w:szCs w:val="24"/>
              </w:rPr>
            </w:pPr>
            <w:r>
              <w:rPr>
                <w:rFonts w:hint="eastAsia" w:ascii="宋体" w:cs="宋体"/>
                <w:bCs/>
                <w:szCs w:val="24"/>
              </w:rPr>
              <w:t>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18" w:hRule="atLeast"/>
          <w:jc w:val="center"/>
        </w:trPr>
        <w:tc>
          <w:tcPr>
            <w:tcW w:w="796" w:type="dxa"/>
            <w:vAlign w:val="center"/>
          </w:tcPr>
          <w:p>
            <w:pPr>
              <w:numPr>
                <w:ilvl w:val="0"/>
                <w:numId w:val="7"/>
              </w:numPr>
              <w:adjustRightInd w:val="0"/>
              <w:snapToGrid w:val="0"/>
              <w:jc w:val="center"/>
              <w:rPr>
                <w:rFonts w:ascii="宋体" w:cs="宋体"/>
                <w:bCs/>
                <w:szCs w:val="24"/>
              </w:rPr>
            </w:pPr>
          </w:p>
        </w:tc>
        <w:tc>
          <w:tcPr>
            <w:tcW w:w="1480" w:type="dxa"/>
            <w:tcBorders>
              <w:top w:val="single" w:color="auto" w:sz="4" w:space="0"/>
              <w:left w:val="single" w:color="auto" w:sz="4" w:space="0"/>
              <w:right w:val="single" w:color="auto" w:sz="4" w:space="0"/>
            </w:tcBorders>
          </w:tcPr>
          <w:p>
            <w:pPr>
              <w:pStyle w:val="75"/>
              <w:rPr>
                <w:rFonts w:ascii="宋体" w:cs="宋体"/>
                <w:sz w:val="24"/>
                <w:szCs w:val="24"/>
              </w:rPr>
            </w:pPr>
            <w:r>
              <w:rPr>
                <w:rFonts w:hint="eastAsia" w:ascii="宋体" w:cs="宋体"/>
                <w:sz w:val="24"/>
                <w:szCs w:val="24"/>
              </w:rPr>
              <w:t xml:space="preserve">食材运输能力 </w:t>
            </w:r>
          </w:p>
        </w:tc>
        <w:tc>
          <w:tcPr>
            <w:tcW w:w="6678" w:type="dxa"/>
            <w:tcBorders>
              <w:top w:val="single" w:color="auto" w:sz="4" w:space="0"/>
              <w:left w:val="single" w:color="auto" w:sz="4" w:space="0"/>
              <w:right w:val="single" w:color="auto" w:sz="4" w:space="0"/>
            </w:tcBorders>
          </w:tcPr>
          <w:p>
            <w:pPr>
              <w:pStyle w:val="75"/>
              <w:rPr>
                <w:rFonts w:ascii="宋体" w:cs="宋体"/>
                <w:sz w:val="24"/>
                <w:szCs w:val="24"/>
              </w:rPr>
            </w:pPr>
            <w:r>
              <w:rPr>
                <w:rFonts w:hint="eastAsia" w:ascii="宋体" w:cs="宋体"/>
                <w:sz w:val="24"/>
                <w:szCs w:val="24"/>
              </w:rPr>
              <w:t>投标人须为本项目投入冷藏配送车辆（自有或租赁均可），具体要求如下： 配置车辆数量满足采购需求基本要求（1辆）的基础上，每增加1辆，得3分，最高得</w:t>
            </w:r>
            <w:r>
              <w:rPr>
                <w:rFonts w:hint="eastAsia"/>
              </w:rPr>
              <w:t>6</w:t>
            </w:r>
            <w:r>
              <w:rPr>
                <w:rFonts w:hint="eastAsia" w:ascii="宋体" w:cs="宋体"/>
                <w:sz w:val="24"/>
                <w:szCs w:val="24"/>
              </w:rPr>
              <w:t xml:space="preserve">分；不满足采购需求基本要求的不得分。 </w:t>
            </w:r>
          </w:p>
          <w:p>
            <w:pPr>
              <w:pStyle w:val="75"/>
              <w:rPr>
                <w:rFonts w:ascii="宋体" w:cs="宋体"/>
                <w:sz w:val="24"/>
                <w:szCs w:val="24"/>
              </w:rPr>
            </w:pPr>
            <w:r>
              <w:rPr>
                <w:rFonts w:hint="eastAsia" w:ascii="宋体" w:cs="宋体"/>
                <w:sz w:val="24"/>
                <w:szCs w:val="24"/>
              </w:rPr>
              <w:t>注：①自有车辆须同时提供车辆行驶证、机动车辆登记证扫描件及实物照片；租赁车辆的除上述要求外，还须提供租赁合同、租期内任一期发票及支付凭证，租赁有效期必须在本项目的服务期内，如不在服务期内，需承诺如获中标，将延续租赁期直至涵盖本项目服务期；②拟投入本项目的冷藏车必须为原装冷藏车辆，不接受由普通车辆改装后的冷藏车，需提供《道路运输证》扫描件。</w:t>
            </w:r>
          </w:p>
        </w:tc>
        <w:tc>
          <w:tcPr>
            <w:tcW w:w="724" w:type="dxa"/>
            <w:vAlign w:val="center"/>
          </w:tcPr>
          <w:p>
            <w:pPr>
              <w:adjustRightInd w:val="0"/>
              <w:snapToGrid w:val="0"/>
              <w:jc w:val="center"/>
              <w:rPr>
                <w:rFonts w:ascii="宋体" w:cs="宋体"/>
                <w:bCs/>
                <w:szCs w:val="24"/>
              </w:rPr>
            </w:pPr>
            <w:r>
              <w:rPr>
                <w:rFonts w:hint="eastAsia" w:ascii="宋体" w:cs="宋体"/>
                <w:bCs/>
                <w:szCs w:val="24"/>
              </w:rPr>
              <w:t>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8" w:hRule="atLeast"/>
          <w:jc w:val="center"/>
        </w:trPr>
        <w:tc>
          <w:tcPr>
            <w:tcW w:w="8954" w:type="dxa"/>
            <w:gridSpan w:val="3"/>
            <w:vAlign w:val="center"/>
          </w:tcPr>
          <w:p>
            <w:pPr>
              <w:adjustRightInd w:val="0"/>
              <w:snapToGrid w:val="0"/>
              <w:jc w:val="center"/>
              <w:rPr>
                <w:rFonts w:ascii="宋体" w:cs="宋体"/>
                <w:bCs/>
                <w:szCs w:val="24"/>
              </w:rPr>
            </w:pPr>
            <w:r>
              <w:rPr>
                <w:rFonts w:hint="eastAsia" w:ascii="宋体" w:cs="宋体"/>
                <w:bCs/>
                <w:szCs w:val="24"/>
              </w:rPr>
              <w:t>合计</w:t>
            </w:r>
          </w:p>
        </w:tc>
        <w:tc>
          <w:tcPr>
            <w:tcW w:w="724" w:type="dxa"/>
            <w:vAlign w:val="center"/>
          </w:tcPr>
          <w:p>
            <w:pPr>
              <w:adjustRightInd w:val="0"/>
              <w:snapToGrid w:val="0"/>
              <w:jc w:val="center"/>
              <w:rPr>
                <w:rFonts w:ascii="宋体" w:cs="宋体"/>
                <w:bCs/>
                <w:szCs w:val="24"/>
              </w:rPr>
            </w:pPr>
            <w:r>
              <w:rPr>
                <w:rFonts w:hint="eastAsia" w:ascii="宋体" w:cs="宋体"/>
                <w:bCs/>
                <w:szCs w:val="24"/>
              </w:rPr>
              <w:t>47</w:t>
            </w:r>
          </w:p>
        </w:tc>
      </w:tr>
    </w:tbl>
    <w:p>
      <w:pPr>
        <w:pStyle w:val="24"/>
      </w:pPr>
      <w:r>
        <w:rPr>
          <w:rFonts w:hint="eastAsia"/>
        </w:rPr>
        <w:t>2.将所有评标委员会成员所评各项的得分进行算术平均（按四舍五入原则精确到小数点后两位），再汇总得出该投标人的技术评分（按四舍五入原则精确到小数点后两位）。</w:t>
      </w:r>
    </w:p>
    <w:p>
      <w:pPr>
        <w:pStyle w:val="49"/>
        <w:rPr>
          <w:b/>
          <w:bCs/>
        </w:rPr>
      </w:pPr>
      <w:r>
        <w:rPr>
          <w:rFonts w:hint="eastAsia"/>
          <w:b/>
          <w:bCs/>
        </w:rPr>
        <w:t>  （四）商务评分</w:t>
      </w:r>
    </w:p>
    <w:p>
      <w:pPr>
        <w:pStyle w:val="24"/>
      </w:pPr>
      <w:r>
        <w:rPr>
          <w:rFonts w:hint="eastAsia"/>
        </w:rPr>
        <w:t>1.由评标委员会成员对所有有效投标文件的商务条件进行审核和评价，填写《商务评分表》，如下：</w:t>
      </w:r>
    </w:p>
    <w:tbl>
      <w:tblPr>
        <w:tblStyle w:val="31"/>
        <w:tblW w:w="9575"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756"/>
        <w:gridCol w:w="1484"/>
        <w:gridCol w:w="6630"/>
        <w:gridCol w:w="70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5" w:hRule="atLeast"/>
          <w:jc w:val="center"/>
        </w:trPr>
        <w:tc>
          <w:tcPr>
            <w:tcW w:w="756" w:type="dxa"/>
            <w:vAlign w:val="center"/>
          </w:tcPr>
          <w:p>
            <w:pPr>
              <w:adjustRightInd w:val="0"/>
              <w:snapToGrid w:val="0"/>
              <w:jc w:val="center"/>
              <w:rPr>
                <w:rFonts w:ascii="宋体" w:cs="宋体"/>
                <w:bCs/>
                <w:szCs w:val="24"/>
              </w:rPr>
            </w:pPr>
            <w:r>
              <w:rPr>
                <w:rFonts w:hint="eastAsia" w:ascii="宋体" w:cs="宋体"/>
                <w:bCs/>
                <w:szCs w:val="24"/>
              </w:rPr>
              <w:t>序号</w:t>
            </w:r>
          </w:p>
        </w:tc>
        <w:tc>
          <w:tcPr>
            <w:tcW w:w="1484" w:type="dxa"/>
            <w:vAlign w:val="center"/>
          </w:tcPr>
          <w:p>
            <w:pPr>
              <w:adjustRightInd w:val="0"/>
              <w:snapToGrid w:val="0"/>
              <w:jc w:val="center"/>
              <w:rPr>
                <w:rFonts w:ascii="宋体" w:cs="宋体"/>
                <w:bCs/>
                <w:szCs w:val="24"/>
              </w:rPr>
            </w:pPr>
            <w:r>
              <w:rPr>
                <w:rFonts w:hint="eastAsia" w:ascii="宋体" w:cs="宋体"/>
                <w:bCs/>
                <w:szCs w:val="24"/>
              </w:rPr>
              <w:t>评审项目</w:t>
            </w:r>
          </w:p>
        </w:tc>
        <w:tc>
          <w:tcPr>
            <w:tcW w:w="6630" w:type="dxa"/>
            <w:vAlign w:val="center"/>
          </w:tcPr>
          <w:p>
            <w:pPr>
              <w:adjustRightInd w:val="0"/>
              <w:snapToGrid w:val="0"/>
              <w:jc w:val="center"/>
              <w:rPr>
                <w:rFonts w:ascii="宋体" w:cs="宋体"/>
                <w:bCs/>
                <w:szCs w:val="24"/>
              </w:rPr>
            </w:pPr>
            <w:r>
              <w:rPr>
                <w:rFonts w:hint="eastAsia" w:ascii="宋体" w:cs="宋体"/>
                <w:bCs/>
                <w:szCs w:val="24"/>
              </w:rPr>
              <w:t>评审细则</w:t>
            </w:r>
          </w:p>
        </w:tc>
        <w:tc>
          <w:tcPr>
            <w:tcW w:w="705" w:type="dxa"/>
            <w:vAlign w:val="center"/>
          </w:tcPr>
          <w:p>
            <w:pPr>
              <w:adjustRightInd w:val="0"/>
              <w:snapToGrid w:val="0"/>
              <w:jc w:val="center"/>
              <w:rPr>
                <w:rFonts w:ascii="宋体" w:cs="宋体"/>
                <w:bCs/>
                <w:szCs w:val="24"/>
              </w:rPr>
            </w:pPr>
            <w:r>
              <w:rPr>
                <w:rFonts w:hint="eastAsia" w:ascii="宋体" w:cs="宋体"/>
                <w:bCs/>
                <w:szCs w:val="24"/>
              </w:rPr>
              <w:t>分值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9" w:hRule="atLeast"/>
          <w:jc w:val="center"/>
        </w:trPr>
        <w:tc>
          <w:tcPr>
            <w:tcW w:w="756" w:type="dxa"/>
            <w:vAlign w:val="center"/>
          </w:tcPr>
          <w:p>
            <w:pPr>
              <w:adjustRightInd w:val="0"/>
              <w:snapToGrid w:val="0"/>
              <w:jc w:val="center"/>
              <w:rPr>
                <w:rFonts w:ascii="宋体" w:cs="宋体"/>
                <w:bCs/>
                <w:szCs w:val="24"/>
              </w:rPr>
            </w:pPr>
            <w:r>
              <w:rPr>
                <w:rFonts w:hint="eastAsia" w:ascii="宋体" w:cs="宋体"/>
                <w:bCs/>
                <w:szCs w:val="24"/>
              </w:rPr>
              <w:t>1</w:t>
            </w:r>
          </w:p>
        </w:tc>
        <w:tc>
          <w:tcPr>
            <w:tcW w:w="1484" w:type="dxa"/>
            <w:tcBorders>
              <w:top w:val="single" w:color="auto" w:sz="4" w:space="0"/>
              <w:left w:val="single" w:color="auto" w:sz="4" w:space="0"/>
              <w:right w:val="single" w:color="auto" w:sz="4" w:space="0"/>
            </w:tcBorders>
          </w:tcPr>
          <w:p>
            <w:pPr>
              <w:pStyle w:val="75"/>
              <w:rPr>
                <w:rFonts w:ascii="宋体" w:cs="宋体"/>
                <w:bCs/>
                <w:kern w:val="2"/>
                <w:sz w:val="24"/>
                <w:szCs w:val="24"/>
              </w:rPr>
            </w:pPr>
            <w:r>
              <w:rPr>
                <w:rFonts w:hint="eastAsia" w:ascii="宋体" w:cs="宋体"/>
                <w:sz w:val="24"/>
                <w:szCs w:val="24"/>
              </w:rPr>
              <w:t xml:space="preserve">投标人同类项目业绩 </w:t>
            </w:r>
          </w:p>
        </w:tc>
        <w:tc>
          <w:tcPr>
            <w:tcW w:w="6630" w:type="dxa"/>
            <w:tcBorders>
              <w:top w:val="single" w:color="auto" w:sz="4" w:space="0"/>
              <w:left w:val="single" w:color="auto" w:sz="4" w:space="0"/>
              <w:right w:val="single" w:color="auto" w:sz="4" w:space="0"/>
            </w:tcBorders>
          </w:tcPr>
          <w:p>
            <w:pPr>
              <w:pStyle w:val="75"/>
              <w:rPr>
                <w:rFonts w:ascii="宋体" w:cs="黑体"/>
                <w:bCs/>
                <w:kern w:val="2"/>
                <w:sz w:val="24"/>
                <w:szCs w:val="21"/>
              </w:rPr>
            </w:pPr>
            <w:r>
              <w:rPr>
                <w:rFonts w:ascii="宋体" w:cs="黑体"/>
                <w:bCs/>
                <w:kern w:val="2"/>
                <w:sz w:val="24"/>
                <w:szCs w:val="21"/>
              </w:rPr>
              <w:t>投标人202</w:t>
            </w:r>
            <w:r>
              <w:rPr>
                <w:rFonts w:hint="eastAsia" w:ascii="宋体" w:cs="黑体"/>
                <w:bCs/>
                <w:kern w:val="2"/>
                <w:sz w:val="24"/>
                <w:szCs w:val="21"/>
              </w:rPr>
              <w:t>3</w:t>
            </w:r>
            <w:r>
              <w:rPr>
                <w:rFonts w:ascii="宋体" w:cs="黑体"/>
                <w:bCs/>
                <w:kern w:val="2"/>
                <w:sz w:val="24"/>
                <w:szCs w:val="21"/>
              </w:rPr>
              <w:t>年1月1日至</w:t>
            </w:r>
            <w:r>
              <w:rPr>
                <w:rFonts w:hint="eastAsia" w:ascii="宋体" w:cs="黑体"/>
                <w:bCs/>
                <w:kern w:val="2"/>
                <w:sz w:val="24"/>
                <w:szCs w:val="21"/>
              </w:rPr>
              <w:t>提交投标文件截止时间</w:t>
            </w:r>
            <w:r>
              <w:rPr>
                <w:rFonts w:ascii="宋体" w:cs="黑体"/>
                <w:bCs/>
                <w:kern w:val="2"/>
                <w:sz w:val="24"/>
                <w:szCs w:val="21"/>
              </w:rPr>
              <w:t>（以</w:t>
            </w:r>
            <w:r>
              <w:rPr>
                <w:rFonts w:hint="eastAsia" w:ascii="宋体" w:cs="黑体"/>
                <w:bCs/>
                <w:kern w:val="2"/>
                <w:sz w:val="24"/>
                <w:szCs w:val="21"/>
              </w:rPr>
              <w:t>合同</w:t>
            </w:r>
            <w:r>
              <w:rPr>
                <w:rFonts w:ascii="宋体" w:cs="黑体"/>
                <w:bCs/>
                <w:kern w:val="2"/>
                <w:sz w:val="24"/>
                <w:szCs w:val="21"/>
              </w:rPr>
              <w:t>签订日期为准）</w:t>
            </w:r>
            <w:r>
              <w:rPr>
                <w:rFonts w:hint="eastAsia" w:ascii="宋体" w:cs="黑体"/>
                <w:bCs/>
                <w:kern w:val="2"/>
                <w:sz w:val="24"/>
                <w:szCs w:val="21"/>
              </w:rPr>
              <w:t>的</w:t>
            </w:r>
            <w:r>
              <w:rPr>
                <w:rFonts w:ascii="宋体" w:cs="黑体"/>
                <w:bCs/>
                <w:kern w:val="2"/>
                <w:sz w:val="24"/>
                <w:szCs w:val="21"/>
              </w:rPr>
              <w:t>同类项目（同类项目是指：</w:t>
            </w:r>
            <w:r>
              <w:rPr>
                <w:rFonts w:hint="eastAsia" w:ascii="宋体" w:cs="宋体"/>
                <w:sz w:val="24"/>
                <w:szCs w:val="24"/>
              </w:rPr>
              <w:t>食材配送</w:t>
            </w:r>
            <w:r>
              <w:rPr>
                <w:rFonts w:ascii="宋体" w:cs="黑体"/>
                <w:bCs/>
                <w:kern w:val="2"/>
                <w:sz w:val="24"/>
                <w:szCs w:val="21"/>
              </w:rPr>
              <w:t>）业绩经验的，每提供一项得1分，最高得5分。（分支机构投标的，总公司业绩纳入评审） 。</w:t>
            </w:r>
          </w:p>
          <w:p>
            <w:pPr>
              <w:pStyle w:val="75"/>
              <w:rPr>
                <w:rFonts w:ascii="宋体" w:cs="宋体"/>
                <w:sz w:val="24"/>
                <w:szCs w:val="24"/>
              </w:rPr>
            </w:pPr>
            <w:r>
              <w:rPr>
                <w:rFonts w:ascii="宋体" w:cs="黑体"/>
                <w:bCs/>
                <w:kern w:val="2"/>
                <w:sz w:val="24"/>
                <w:szCs w:val="21"/>
              </w:rPr>
              <w:t>注：须同时附上合同关键页（含签订合同双方的单位名称、合同项目名称、合同清单/合同概况、与含签订合同双方的落款盖章、签订日期页）扫描件</w:t>
            </w:r>
            <w:r>
              <w:rPr>
                <w:rFonts w:hint="eastAsia" w:ascii="宋体" w:cs="黑体"/>
                <w:bCs/>
                <w:kern w:val="2"/>
                <w:sz w:val="24"/>
                <w:szCs w:val="21"/>
              </w:rPr>
              <w:t>及对应履约期内任意一笔由乙方开具的发票扫描件</w:t>
            </w:r>
            <w:r>
              <w:rPr>
                <w:rFonts w:ascii="宋体" w:cs="黑体"/>
                <w:bCs/>
                <w:kern w:val="2"/>
                <w:sz w:val="24"/>
                <w:szCs w:val="21"/>
              </w:rPr>
              <w:t>作为评审依据，无提供或提供不全或提供的证明材料不清晰明确，评委无法辨认的，则不得分。</w:t>
            </w:r>
          </w:p>
        </w:tc>
        <w:tc>
          <w:tcPr>
            <w:tcW w:w="705" w:type="dxa"/>
            <w:vAlign w:val="center"/>
          </w:tcPr>
          <w:p>
            <w:pPr>
              <w:adjustRightInd w:val="0"/>
              <w:snapToGrid w:val="0"/>
              <w:jc w:val="center"/>
              <w:rPr>
                <w:rFonts w:ascii="宋体" w:cs="宋体"/>
                <w:bCs/>
                <w:szCs w:val="24"/>
              </w:rPr>
            </w:pPr>
            <w:r>
              <w:rPr>
                <w:rFonts w:hint="eastAsia" w:ascii="宋体" w:cs="宋体"/>
                <w:bCs/>
                <w:szCs w:val="24"/>
              </w:rPr>
              <w:t>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3" w:hRule="atLeast"/>
          <w:jc w:val="center"/>
        </w:trPr>
        <w:tc>
          <w:tcPr>
            <w:tcW w:w="756" w:type="dxa"/>
            <w:vAlign w:val="center"/>
          </w:tcPr>
          <w:p>
            <w:pPr>
              <w:adjustRightInd w:val="0"/>
              <w:snapToGrid w:val="0"/>
              <w:jc w:val="center"/>
              <w:rPr>
                <w:rFonts w:ascii="宋体" w:cs="宋体"/>
                <w:bCs/>
                <w:szCs w:val="24"/>
              </w:rPr>
            </w:pPr>
            <w:r>
              <w:rPr>
                <w:rFonts w:hint="eastAsia" w:ascii="宋体" w:cs="宋体"/>
                <w:bCs/>
                <w:szCs w:val="24"/>
              </w:rPr>
              <w:t>2</w:t>
            </w:r>
          </w:p>
        </w:tc>
        <w:tc>
          <w:tcPr>
            <w:tcW w:w="1484" w:type="dxa"/>
            <w:tcBorders>
              <w:top w:val="single" w:color="auto" w:sz="4" w:space="0"/>
              <w:left w:val="single" w:color="auto" w:sz="4" w:space="0"/>
              <w:right w:val="single" w:color="auto" w:sz="4" w:space="0"/>
            </w:tcBorders>
          </w:tcPr>
          <w:p>
            <w:pPr>
              <w:pStyle w:val="75"/>
              <w:rPr>
                <w:rFonts w:ascii="宋体" w:cs="宋体"/>
                <w:sz w:val="24"/>
                <w:szCs w:val="24"/>
              </w:rPr>
            </w:pPr>
            <w:r>
              <w:rPr>
                <w:rFonts w:hint="eastAsia" w:ascii="宋体" w:cs="宋体"/>
                <w:sz w:val="24"/>
                <w:szCs w:val="24"/>
              </w:rPr>
              <w:t xml:space="preserve">用户满意度评价 </w:t>
            </w:r>
          </w:p>
        </w:tc>
        <w:tc>
          <w:tcPr>
            <w:tcW w:w="6630" w:type="dxa"/>
            <w:tcBorders>
              <w:top w:val="single" w:color="auto" w:sz="4" w:space="0"/>
              <w:left w:val="single" w:color="auto" w:sz="4" w:space="0"/>
              <w:right w:val="single" w:color="auto" w:sz="4" w:space="0"/>
            </w:tcBorders>
          </w:tcPr>
          <w:p>
            <w:pPr>
              <w:pStyle w:val="75"/>
              <w:rPr>
                <w:rFonts w:ascii="宋体" w:cs="黑体"/>
                <w:bCs/>
                <w:kern w:val="2"/>
                <w:sz w:val="24"/>
                <w:szCs w:val="21"/>
              </w:rPr>
            </w:pPr>
            <w:r>
              <w:rPr>
                <w:rFonts w:ascii="宋体" w:cs="黑体"/>
                <w:bCs/>
                <w:kern w:val="2"/>
                <w:sz w:val="24"/>
                <w:szCs w:val="21"/>
              </w:rPr>
              <w:t>投标人在本项目提供“</w:t>
            </w:r>
            <w:r>
              <w:rPr>
                <w:rFonts w:hint="eastAsia" w:ascii="宋体" w:cs="宋体"/>
                <w:sz w:val="24"/>
                <w:szCs w:val="24"/>
              </w:rPr>
              <w:t>投标人</w:t>
            </w:r>
            <w:r>
              <w:rPr>
                <w:rFonts w:ascii="宋体" w:cs="黑体"/>
                <w:bCs/>
                <w:kern w:val="2"/>
                <w:sz w:val="24"/>
                <w:szCs w:val="21"/>
              </w:rPr>
              <w:t>同类项目业绩”中有获得合同的买方（甲方）单位对其服务质量评价（非验收资料），且评价内容须为满意或优等类似的正面满意度评价材料，需盖有合同的买方（甲方）单位公章</w:t>
            </w:r>
            <w:r>
              <w:rPr>
                <w:rFonts w:hint="eastAsia" w:ascii="宋体" w:cs="黑体"/>
                <w:bCs/>
                <w:kern w:val="2"/>
                <w:sz w:val="24"/>
                <w:szCs w:val="21"/>
              </w:rPr>
              <w:t>(注:部门公章或其他有效章)</w:t>
            </w:r>
            <w:r>
              <w:rPr>
                <w:rFonts w:ascii="宋体" w:cs="黑体"/>
                <w:bCs/>
                <w:kern w:val="2"/>
                <w:sz w:val="24"/>
                <w:szCs w:val="21"/>
              </w:rPr>
              <w:t>，一个项目评价得1分，最高得</w:t>
            </w:r>
            <w:r>
              <w:rPr>
                <w:rFonts w:hint="eastAsia" w:ascii="宋体" w:cs="黑体"/>
                <w:bCs/>
                <w:kern w:val="2"/>
                <w:sz w:val="24"/>
                <w:szCs w:val="21"/>
              </w:rPr>
              <w:t>5</w:t>
            </w:r>
            <w:r>
              <w:rPr>
                <w:rFonts w:ascii="宋体" w:cs="黑体"/>
                <w:bCs/>
                <w:kern w:val="2"/>
                <w:sz w:val="24"/>
                <w:szCs w:val="21"/>
              </w:rPr>
              <w:t xml:space="preserve">分。 </w:t>
            </w:r>
          </w:p>
          <w:p>
            <w:pPr>
              <w:pStyle w:val="75"/>
              <w:rPr>
                <w:rFonts w:ascii="宋体" w:cs="宋体"/>
                <w:sz w:val="24"/>
                <w:szCs w:val="24"/>
              </w:rPr>
            </w:pPr>
            <w:r>
              <w:rPr>
                <w:rFonts w:ascii="宋体" w:cs="黑体"/>
                <w:bCs/>
                <w:kern w:val="2"/>
                <w:sz w:val="24"/>
                <w:szCs w:val="21"/>
              </w:rPr>
              <w:t>注：①提供多个评价材料均为同一买方（甲方）单位的，只计算为一个评价；②提供证明材料扫描件，加盖投标人单位公章；③如非经认定为有效项目业绩，则对应项目评价材料不得分。</w:t>
            </w:r>
          </w:p>
        </w:tc>
        <w:tc>
          <w:tcPr>
            <w:tcW w:w="705" w:type="dxa"/>
            <w:vAlign w:val="center"/>
          </w:tcPr>
          <w:p>
            <w:pPr>
              <w:adjustRightInd w:val="0"/>
              <w:snapToGrid w:val="0"/>
              <w:jc w:val="center"/>
              <w:rPr>
                <w:rFonts w:ascii="宋体" w:cs="宋体"/>
                <w:bCs/>
                <w:szCs w:val="24"/>
              </w:rPr>
            </w:pPr>
            <w:r>
              <w:rPr>
                <w:rFonts w:hint="eastAsia" w:ascii="宋体" w:cs="宋体"/>
                <w:bCs/>
                <w:szCs w:val="24"/>
              </w:rPr>
              <w:t>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2" w:hRule="atLeast"/>
          <w:jc w:val="center"/>
        </w:trPr>
        <w:tc>
          <w:tcPr>
            <w:tcW w:w="756" w:type="dxa"/>
            <w:vAlign w:val="center"/>
          </w:tcPr>
          <w:p>
            <w:pPr>
              <w:adjustRightInd w:val="0"/>
              <w:snapToGrid w:val="0"/>
              <w:jc w:val="center"/>
              <w:rPr>
                <w:rFonts w:ascii="宋体" w:cs="宋体"/>
                <w:bCs/>
                <w:szCs w:val="24"/>
              </w:rPr>
            </w:pPr>
            <w:r>
              <w:rPr>
                <w:rFonts w:hint="eastAsia" w:ascii="宋体" w:cs="宋体"/>
                <w:bCs/>
                <w:szCs w:val="24"/>
              </w:rPr>
              <w:t>3</w:t>
            </w:r>
          </w:p>
        </w:tc>
        <w:tc>
          <w:tcPr>
            <w:tcW w:w="1484" w:type="dxa"/>
            <w:tcBorders>
              <w:top w:val="single" w:color="auto" w:sz="4" w:space="0"/>
              <w:left w:val="single" w:color="auto" w:sz="4" w:space="0"/>
              <w:right w:val="single" w:color="auto" w:sz="4" w:space="0"/>
            </w:tcBorders>
          </w:tcPr>
          <w:p>
            <w:pPr>
              <w:pStyle w:val="75"/>
              <w:rPr>
                <w:rFonts w:ascii="宋体" w:cs="宋体"/>
                <w:bCs/>
                <w:sz w:val="24"/>
                <w:szCs w:val="24"/>
              </w:rPr>
            </w:pPr>
            <w:r>
              <w:rPr>
                <w:rFonts w:hint="eastAsia" w:ascii="宋体" w:cs="宋体"/>
                <w:sz w:val="24"/>
                <w:szCs w:val="24"/>
              </w:rPr>
              <w:t xml:space="preserve">项目负责人资质及经验 </w:t>
            </w:r>
          </w:p>
        </w:tc>
        <w:tc>
          <w:tcPr>
            <w:tcW w:w="6630" w:type="dxa"/>
            <w:tcBorders>
              <w:top w:val="single" w:color="auto" w:sz="4" w:space="0"/>
              <w:left w:val="single" w:color="auto" w:sz="4" w:space="0"/>
              <w:right w:val="single" w:color="auto" w:sz="4" w:space="0"/>
            </w:tcBorders>
          </w:tcPr>
          <w:p>
            <w:pPr>
              <w:pStyle w:val="75"/>
              <w:rPr>
                <w:rFonts w:ascii="宋体" w:cs="宋体"/>
                <w:sz w:val="24"/>
                <w:szCs w:val="24"/>
              </w:rPr>
            </w:pPr>
            <w:r>
              <w:rPr>
                <w:rFonts w:hint="eastAsia" w:ascii="宋体" w:cs="宋体"/>
                <w:sz w:val="24"/>
                <w:szCs w:val="24"/>
              </w:rPr>
              <w:t>拟投入的项目负责人的服务经验，项目负责人的食材配送经验年限：3年经验的，得2分；3年（不含）以上的，得4分，需提供</w:t>
            </w:r>
            <w:r>
              <w:rPr>
                <w:rFonts w:hint="eastAsia" w:ascii="宋体" w:cs="宋体"/>
                <w:color w:val="000000"/>
                <w:sz w:val="24"/>
                <w:szCs w:val="24"/>
              </w:rPr>
              <w:t>既往完整的劳动合同扫描件或既往上述同类项目工作经历证明(如带有项目经理（项目负责人）的项目合同或工作评价表或验收证明等相关材料扫描件），不同单位的项目经验年限可累计</w:t>
            </w:r>
            <w:r>
              <w:rPr>
                <w:rFonts w:hint="eastAsia" w:ascii="宋体" w:cs="宋体"/>
                <w:sz w:val="24"/>
                <w:szCs w:val="24"/>
              </w:rPr>
              <w:t xml:space="preserve">。 </w:t>
            </w:r>
          </w:p>
          <w:p>
            <w:pPr>
              <w:pStyle w:val="75"/>
              <w:rPr>
                <w:rFonts w:ascii="宋体" w:cs="宋体"/>
                <w:bCs/>
                <w:sz w:val="24"/>
                <w:szCs w:val="24"/>
                <w:lang w:val="zh-CN"/>
              </w:rPr>
            </w:pPr>
            <w:r>
              <w:rPr>
                <w:rFonts w:hint="eastAsia" w:ascii="宋体" w:cs="宋体"/>
                <w:sz w:val="24"/>
                <w:szCs w:val="24"/>
              </w:rPr>
              <w:t>备注：除上述材料外，还须提供</w:t>
            </w:r>
            <w:r>
              <w:rPr>
                <w:rFonts w:hint="eastAsia" w:ascii="宋体" w:cs="宋体"/>
                <w:color w:val="000000"/>
                <w:sz w:val="24"/>
                <w:szCs w:val="24"/>
              </w:rPr>
              <w:t>在投标人任职的外部证明材料（如提供加盖政府有关部门印章的在本项目投标截止日之前六个月内任意一个月的：《投保单》或《社会保险参保人员证明》扫描件等）</w:t>
            </w:r>
            <w:r>
              <w:rPr>
                <w:rFonts w:hint="eastAsia" w:ascii="宋体" w:cs="宋体"/>
                <w:sz w:val="24"/>
                <w:szCs w:val="24"/>
              </w:rPr>
              <w:t>。</w:t>
            </w:r>
          </w:p>
        </w:tc>
        <w:tc>
          <w:tcPr>
            <w:tcW w:w="705" w:type="dxa"/>
            <w:vAlign w:val="center"/>
          </w:tcPr>
          <w:p>
            <w:pPr>
              <w:adjustRightInd w:val="0"/>
              <w:snapToGrid w:val="0"/>
              <w:jc w:val="center"/>
              <w:rPr>
                <w:rFonts w:ascii="宋体" w:cs="宋体"/>
                <w:bCs/>
                <w:szCs w:val="24"/>
              </w:rPr>
            </w:pPr>
            <w:r>
              <w:rPr>
                <w:rFonts w:hint="eastAsia" w:ascii="宋体" w:cs="宋体"/>
                <w:bCs/>
                <w:szCs w:val="24"/>
              </w:rPr>
              <w:t>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4" w:hRule="atLeast"/>
          <w:jc w:val="center"/>
        </w:trPr>
        <w:tc>
          <w:tcPr>
            <w:tcW w:w="756" w:type="dxa"/>
            <w:vAlign w:val="center"/>
          </w:tcPr>
          <w:p>
            <w:pPr>
              <w:adjustRightInd w:val="0"/>
              <w:snapToGrid w:val="0"/>
              <w:jc w:val="center"/>
              <w:rPr>
                <w:rFonts w:ascii="宋体" w:cs="宋体"/>
                <w:bCs/>
                <w:szCs w:val="24"/>
              </w:rPr>
            </w:pPr>
            <w:r>
              <w:rPr>
                <w:rFonts w:hint="eastAsia" w:ascii="宋体" w:cs="宋体"/>
                <w:bCs/>
                <w:szCs w:val="24"/>
              </w:rPr>
              <w:t>4</w:t>
            </w:r>
          </w:p>
        </w:tc>
        <w:tc>
          <w:tcPr>
            <w:tcW w:w="1484" w:type="dxa"/>
            <w:tcBorders>
              <w:top w:val="single" w:color="auto" w:sz="4" w:space="0"/>
              <w:left w:val="single" w:color="auto" w:sz="4" w:space="0"/>
              <w:right w:val="single" w:color="auto" w:sz="4" w:space="0"/>
            </w:tcBorders>
          </w:tcPr>
          <w:p>
            <w:pPr>
              <w:pStyle w:val="75"/>
              <w:rPr>
                <w:rFonts w:ascii="宋体" w:cs="宋体"/>
                <w:bCs/>
                <w:sz w:val="24"/>
                <w:szCs w:val="24"/>
              </w:rPr>
            </w:pPr>
            <w:r>
              <w:rPr>
                <w:rFonts w:hint="eastAsia" w:ascii="宋体" w:cs="宋体"/>
                <w:sz w:val="24"/>
                <w:szCs w:val="24"/>
              </w:rPr>
              <w:t>食品安全责任险</w:t>
            </w:r>
          </w:p>
        </w:tc>
        <w:tc>
          <w:tcPr>
            <w:tcW w:w="6630" w:type="dxa"/>
            <w:tcBorders>
              <w:top w:val="single" w:color="auto" w:sz="4" w:space="0"/>
              <w:left w:val="single" w:color="auto" w:sz="4" w:space="0"/>
              <w:right w:val="single" w:color="auto" w:sz="4" w:space="0"/>
            </w:tcBorders>
          </w:tcPr>
          <w:p>
            <w:pPr>
              <w:pStyle w:val="75"/>
              <w:rPr>
                <w:rFonts w:ascii="宋体" w:cs="宋体"/>
                <w:sz w:val="24"/>
                <w:szCs w:val="24"/>
              </w:rPr>
            </w:pPr>
            <w:r>
              <w:rPr>
                <w:rFonts w:hint="eastAsia" w:ascii="宋体" w:cs="宋体"/>
                <w:sz w:val="24"/>
                <w:szCs w:val="24"/>
              </w:rPr>
              <w:t>投标人承诺提供可用于本项目的有效的食品安全责任保险，即保险期需覆盖本项目服务期,1、食品安全责任险赔偿额度≥人民币400万元的，得4分； 2、人民币300万元≤食品安全责任险赔偿额度＜人民币400万元，得3分； 3、人民币200万元≤食品安全责任险赔偿额度＜人民币300万元，得2分； 4、食品安全责任险赔偿额度＜人民币200万元，得1分。</w:t>
            </w:r>
          </w:p>
          <w:p>
            <w:pPr>
              <w:pStyle w:val="75"/>
              <w:rPr>
                <w:rFonts w:ascii="宋体" w:cs="宋体"/>
                <w:bCs/>
                <w:sz w:val="24"/>
                <w:szCs w:val="24"/>
              </w:rPr>
            </w:pPr>
            <w:r>
              <w:rPr>
                <w:rFonts w:hint="eastAsia" w:ascii="宋体" w:cs="宋体"/>
                <w:sz w:val="24"/>
                <w:szCs w:val="24"/>
              </w:rPr>
              <w:t>注：投标人承诺如果中标，签订合同后3个工作日内配备到位（投标时提交承诺函，函中须清晰明确购买赔付金额和购买到位时间）。</w:t>
            </w:r>
          </w:p>
        </w:tc>
        <w:tc>
          <w:tcPr>
            <w:tcW w:w="705" w:type="dxa"/>
            <w:vAlign w:val="center"/>
          </w:tcPr>
          <w:p>
            <w:pPr>
              <w:adjustRightInd w:val="0"/>
              <w:snapToGrid w:val="0"/>
              <w:jc w:val="center"/>
              <w:rPr>
                <w:rFonts w:ascii="宋体" w:cs="宋体"/>
                <w:bCs/>
                <w:szCs w:val="24"/>
              </w:rPr>
            </w:pPr>
            <w:r>
              <w:rPr>
                <w:rFonts w:hint="eastAsia" w:ascii="宋体" w:cs="宋体"/>
                <w:bCs/>
                <w:szCs w:val="24"/>
              </w:rPr>
              <w:t>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2" w:hRule="atLeast"/>
          <w:jc w:val="center"/>
        </w:trPr>
        <w:tc>
          <w:tcPr>
            <w:tcW w:w="756" w:type="dxa"/>
            <w:vAlign w:val="center"/>
          </w:tcPr>
          <w:p>
            <w:pPr>
              <w:adjustRightInd w:val="0"/>
              <w:snapToGrid w:val="0"/>
              <w:jc w:val="center"/>
              <w:rPr>
                <w:rFonts w:ascii="宋体" w:cs="宋体"/>
                <w:bCs/>
                <w:szCs w:val="24"/>
              </w:rPr>
            </w:pPr>
            <w:r>
              <w:rPr>
                <w:rFonts w:hint="eastAsia" w:ascii="宋体" w:cs="宋体"/>
                <w:bCs/>
                <w:szCs w:val="24"/>
              </w:rPr>
              <w:t>5</w:t>
            </w:r>
          </w:p>
        </w:tc>
        <w:tc>
          <w:tcPr>
            <w:tcW w:w="1484" w:type="dxa"/>
            <w:tcBorders>
              <w:top w:val="single" w:color="auto" w:sz="4" w:space="0"/>
              <w:left w:val="single" w:color="auto" w:sz="4" w:space="0"/>
              <w:right w:val="single" w:color="auto" w:sz="4" w:space="0"/>
            </w:tcBorders>
          </w:tcPr>
          <w:p>
            <w:pPr>
              <w:pStyle w:val="75"/>
              <w:rPr>
                <w:rFonts w:ascii="宋体" w:cs="宋体"/>
                <w:bCs/>
                <w:kern w:val="2"/>
                <w:sz w:val="24"/>
                <w:szCs w:val="24"/>
              </w:rPr>
            </w:pPr>
            <w:r>
              <w:rPr>
                <w:rFonts w:hint="eastAsia" w:ascii="宋体" w:cs="宋体"/>
                <w:sz w:val="24"/>
                <w:szCs w:val="24"/>
              </w:rPr>
              <w:t xml:space="preserve">配送仓存能力 </w:t>
            </w:r>
          </w:p>
        </w:tc>
        <w:tc>
          <w:tcPr>
            <w:tcW w:w="6630" w:type="dxa"/>
            <w:tcBorders>
              <w:top w:val="single" w:color="auto" w:sz="4" w:space="0"/>
              <w:left w:val="single" w:color="auto" w:sz="4" w:space="0"/>
              <w:right w:val="single" w:color="auto" w:sz="4" w:space="0"/>
            </w:tcBorders>
          </w:tcPr>
          <w:p>
            <w:pPr>
              <w:pStyle w:val="75"/>
              <w:rPr>
                <w:rFonts w:ascii="宋体" w:cs="宋体"/>
                <w:sz w:val="24"/>
                <w:szCs w:val="24"/>
              </w:rPr>
            </w:pPr>
            <w:r>
              <w:rPr>
                <w:rFonts w:hint="eastAsia" w:ascii="宋体" w:cs="宋体"/>
                <w:sz w:val="24"/>
                <w:szCs w:val="24"/>
              </w:rPr>
              <w:t xml:space="preserve">投标人具有货物存储配送场所（自有或租赁）：场所应包含冷藏库、货物储存仓库。每提供1项证明材料的，得1分，最高得2分。 </w:t>
            </w:r>
          </w:p>
          <w:p>
            <w:pPr>
              <w:pStyle w:val="75"/>
              <w:rPr>
                <w:rFonts w:ascii="宋体" w:cs="宋体"/>
                <w:bCs/>
                <w:kern w:val="2"/>
                <w:sz w:val="24"/>
                <w:szCs w:val="24"/>
              </w:rPr>
            </w:pPr>
            <w:r>
              <w:rPr>
                <w:rFonts w:hint="eastAsia" w:ascii="宋体" w:cs="宋体"/>
                <w:sz w:val="24"/>
                <w:szCs w:val="24"/>
              </w:rPr>
              <w:t>注： ①投标人自有冷藏库、货物储存仓库的须提供产权证明或建设（或采购）合同扫描件、彩色照片；②冷藏库、货物储存仓库若是租赁的须同时提供租赁合同、任意一期支付凭证及发票扫描件（合同租赁结束期若不能涵盖服务期的，还须提供承诺函，承诺租赁到期后将继续租赁）、彩色照片；③若为中标后提供的，需提供相关承诺函，严格承诺以上内容，未按要求提供材料的，得0分。</w:t>
            </w:r>
          </w:p>
        </w:tc>
        <w:tc>
          <w:tcPr>
            <w:tcW w:w="705" w:type="dxa"/>
            <w:vAlign w:val="center"/>
          </w:tcPr>
          <w:p>
            <w:pPr>
              <w:adjustRightInd w:val="0"/>
              <w:snapToGrid w:val="0"/>
              <w:jc w:val="center"/>
              <w:rPr>
                <w:rFonts w:ascii="宋体" w:cs="宋体"/>
                <w:bCs/>
                <w:szCs w:val="24"/>
              </w:rPr>
            </w:pPr>
            <w:r>
              <w:rPr>
                <w:rFonts w:hint="eastAsia" w:ascii="宋体" w:cs="宋体"/>
                <w:bCs/>
                <w:szCs w:val="24"/>
              </w:rPr>
              <w:t>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6" w:hRule="atLeast"/>
          <w:jc w:val="center"/>
        </w:trPr>
        <w:tc>
          <w:tcPr>
            <w:tcW w:w="756" w:type="dxa"/>
            <w:vAlign w:val="center"/>
          </w:tcPr>
          <w:p>
            <w:pPr>
              <w:adjustRightInd w:val="0"/>
              <w:snapToGrid w:val="0"/>
              <w:jc w:val="center"/>
              <w:rPr>
                <w:rFonts w:ascii="宋体" w:cs="宋体"/>
                <w:bCs/>
                <w:szCs w:val="24"/>
              </w:rPr>
            </w:pPr>
            <w:r>
              <w:rPr>
                <w:rFonts w:hint="eastAsia" w:ascii="宋体" w:cs="宋体"/>
                <w:bCs/>
                <w:szCs w:val="24"/>
              </w:rPr>
              <w:t>6</w:t>
            </w:r>
          </w:p>
        </w:tc>
        <w:tc>
          <w:tcPr>
            <w:tcW w:w="1484" w:type="dxa"/>
            <w:tcBorders>
              <w:top w:val="single" w:color="auto" w:sz="4" w:space="0"/>
              <w:left w:val="single" w:color="auto" w:sz="4" w:space="0"/>
              <w:right w:val="single" w:color="auto" w:sz="4" w:space="0"/>
            </w:tcBorders>
          </w:tcPr>
          <w:p>
            <w:pPr>
              <w:pStyle w:val="75"/>
              <w:rPr>
                <w:rFonts w:ascii="宋体" w:cs="宋体"/>
                <w:bCs/>
                <w:kern w:val="2"/>
                <w:sz w:val="24"/>
                <w:szCs w:val="24"/>
              </w:rPr>
            </w:pPr>
            <w:r>
              <w:rPr>
                <w:rFonts w:hint="eastAsia" w:ascii="宋体" w:cs="宋体"/>
                <w:sz w:val="24"/>
                <w:szCs w:val="24"/>
              </w:rPr>
              <w:t xml:space="preserve">企业管理能力 </w:t>
            </w:r>
          </w:p>
        </w:tc>
        <w:tc>
          <w:tcPr>
            <w:tcW w:w="6630" w:type="dxa"/>
            <w:tcBorders>
              <w:top w:val="single" w:color="auto" w:sz="4" w:space="0"/>
              <w:left w:val="single" w:color="auto" w:sz="4" w:space="0"/>
              <w:right w:val="single" w:color="auto" w:sz="4" w:space="0"/>
            </w:tcBorders>
          </w:tcPr>
          <w:p>
            <w:pPr>
              <w:pStyle w:val="75"/>
              <w:rPr>
                <w:rFonts w:ascii="宋体" w:cs="宋体"/>
                <w:bCs/>
                <w:sz w:val="24"/>
                <w:szCs w:val="24"/>
              </w:rPr>
            </w:pPr>
            <w:r>
              <w:rPr>
                <w:rFonts w:hint="eastAsia" w:ascii="宋体" w:cs="宋体"/>
                <w:sz w:val="24"/>
                <w:szCs w:val="24"/>
              </w:rPr>
              <w:t>投标人具备有效期内质量管理体系认证的，得2分。提供体系认证证书的扫描件及在全国认证认可信息公共服务平台上对证书的查询结果截图为证明材料。因投标人成立时间不足3个月，导致未能取得相关认证且提供书面说明的，对应证书可得分。</w:t>
            </w:r>
          </w:p>
        </w:tc>
        <w:tc>
          <w:tcPr>
            <w:tcW w:w="705" w:type="dxa"/>
            <w:vAlign w:val="center"/>
          </w:tcPr>
          <w:p>
            <w:pPr>
              <w:adjustRightInd w:val="0"/>
              <w:snapToGrid w:val="0"/>
              <w:jc w:val="center"/>
              <w:rPr>
                <w:rFonts w:ascii="宋体" w:cs="宋体"/>
                <w:bCs/>
                <w:szCs w:val="24"/>
              </w:rPr>
            </w:pPr>
            <w:r>
              <w:rPr>
                <w:rFonts w:hint="eastAsia" w:ascii="宋体" w:cs="宋体"/>
                <w:bCs/>
                <w:szCs w:val="24"/>
              </w:rPr>
              <w:t>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6" w:hRule="atLeast"/>
          <w:jc w:val="center"/>
        </w:trPr>
        <w:tc>
          <w:tcPr>
            <w:tcW w:w="756" w:type="dxa"/>
            <w:vAlign w:val="center"/>
          </w:tcPr>
          <w:p>
            <w:pPr>
              <w:adjustRightInd w:val="0"/>
              <w:snapToGrid w:val="0"/>
              <w:jc w:val="center"/>
              <w:rPr>
                <w:rFonts w:ascii="宋体" w:cs="宋体"/>
                <w:bCs/>
                <w:szCs w:val="24"/>
              </w:rPr>
            </w:pPr>
            <w:r>
              <w:rPr>
                <w:rFonts w:hint="eastAsia" w:ascii="宋体" w:cs="宋体"/>
                <w:bCs/>
                <w:szCs w:val="24"/>
              </w:rPr>
              <w:t>7</w:t>
            </w:r>
          </w:p>
        </w:tc>
        <w:tc>
          <w:tcPr>
            <w:tcW w:w="1484" w:type="dxa"/>
            <w:tcBorders>
              <w:top w:val="single" w:color="auto" w:sz="4" w:space="0"/>
              <w:left w:val="single" w:color="auto" w:sz="4" w:space="0"/>
              <w:right w:val="single" w:color="auto" w:sz="4" w:space="0"/>
            </w:tcBorders>
          </w:tcPr>
          <w:p>
            <w:pPr>
              <w:pStyle w:val="75"/>
              <w:rPr>
                <w:rFonts w:ascii="宋体" w:cs="宋体"/>
                <w:bCs/>
                <w:kern w:val="2"/>
                <w:sz w:val="24"/>
                <w:szCs w:val="24"/>
              </w:rPr>
            </w:pPr>
            <w:r>
              <w:rPr>
                <w:rFonts w:hint="eastAsia" w:ascii="宋体" w:cs="宋体"/>
                <w:sz w:val="24"/>
                <w:szCs w:val="24"/>
              </w:rPr>
              <w:t xml:space="preserve">对非重大违法违规记录的扣分 </w:t>
            </w:r>
          </w:p>
        </w:tc>
        <w:tc>
          <w:tcPr>
            <w:tcW w:w="6630" w:type="dxa"/>
            <w:tcBorders>
              <w:top w:val="single" w:color="auto" w:sz="4" w:space="0"/>
              <w:left w:val="single" w:color="auto" w:sz="4" w:space="0"/>
              <w:right w:val="single" w:color="auto" w:sz="4" w:space="0"/>
            </w:tcBorders>
          </w:tcPr>
          <w:p>
            <w:pPr>
              <w:pStyle w:val="75"/>
              <w:rPr>
                <w:rFonts w:ascii="宋体" w:cs="宋体"/>
                <w:bCs/>
                <w:sz w:val="24"/>
                <w:szCs w:val="24"/>
              </w:rPr>
            </w:pPr>
            <w:r>
              <w:rPr>
                <w:rFonts w:hint="eastAsia" w:ascii="宋体" w:cs="宋体"/>
                <w:sz w:val="24"/>
                <w:szCs w:val="24"/>
              </w:rPr>
              <w:t>以“信用中国”（www.creditchina.gov.cn）网站为查询渠道：对列入行政处罚或经营异常的投标人每一条记录扣0.1分，最高扣1分。如查询结果显示没有相关记录，视为没有上述非重大违法违规记录，则不扣分。以评标委员会于评审时在上述网站查询结果为准，评标委员会应将上述记录查询情况截图存档。</w:t>
            </w:r>
          </w:p>
        </w:tc>
        <w:tc>
          <w:tcPr>
            <w:tcW w:w="705" w:type="dxa"/>
            <w:vAlign w:val="center"/>
          </w:tcPr>
          <w:p>
            <w:pPr>
              <w:adjustRightInd w:val="0"/>
              <w:snapToGrid w:val="0"/>
              <w:jc w:val="center"/>
              <w:rPr>
                <w:rFonts w:ascii="宋体" w:cs="宋体"/>
                <w:bCs/>
                <w:szCs w:val="24"/>
              </w:rPr>
            </w:pPr>
            <w:r>
              <w:rPr>
                <w:rFonts w:hint="eastAsia" w:ascii="宋体" w:cs="宋体"/>
                <w:bCs/>
                <w:szCs w:val="24"/>
              </w:rPr>
              <w:t>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5" w:hRule="atLeast"/>
          <w:jc w:val="center"/>
        </w:trPr>
        <w:tc>
          <w:tcPr>
            <w:tcW w:w="8870" w:type="dxa"/>
            <w:gridSpan w:val="3"/>
            <w:vAlign w:val="center"/>
          </w:tcPr>
          <w:p>
            <w:pPr>
              <w:adjustRightInd w:val="0"/>
              <w:snapToGrid w:val="0"/>
              <w:jc w:val="center"/>
              <w:rPr>
                <w:rFonts w:ascii="宋体" w:cs="宋体"/>
                <w:bCs/>
                <w:szCs w:val="24"/>
              </w:rPr>
            </w:pPr>
            <w:r>
              <w:rPr>
                <w:rFonts w:hint="eastAsia" w:ascii="宋体" w:cs="宋体"/>
                <w:bCs/>
                <w:szCs w:val="24"/>
              </w:rPr>
              <w:t>合计</w:t>
            </w:r>
          </w:p>
        </w:tc>
        <w:tc>
          <w:tcPr>
            <w:tcW w:w="705" w:type="dxa"/>
            <w:vAlign w:val="center"/>
          </w:tcPr>
          <w:p>
            <w:pPr>
              <w:adjustRightInd w:val="0"/>
              <w:snapToGrid w:val="0"/>
              <w:jc w:val="center"/>
              <w:rPr>
                <w:rFonts w:ascii="宋体" w:cs="宋体"/>
                <w:bCs/>
                <w:szCs w:val="24"/>
              </w:rPr>
            </w:pPr>
            <w:r>
              <w:rPr>
                <w:rFonts w:hint="eastAsia" w:ascii="宋体" w:cs="宋体"/>
                <w:bCs/>
                <w:szCs w:val="24"/>
              </w:rPr>
              <w:t>23</w:t>
            </w:r>
          </w:p>
        </w:tc>
      </w:tr>
    </w:tbl>
    <w:p>
      <w:pPr>
        <w:pStyle w:val="24"/>
      </w:pPr>
      <w:r>
        <w:rPr>
          <w:rFonts w:hint="eastAsia"/>
        </w:rPr>
        <w:t>说明：上表所列为投标人的商务条件。请投标人严格按照要求提交相关证明材料，否则有可能影响评审结果。</w:t>
      </w:r>
    </w:p>
    <w:p>
      <w:pPr>
        <w:pStyle w:val="24"/>
      </w:pPr>
      <w:r>
        <w:rPr>
          <w:rFonts w:hint="eastAsia"/>
        </w:rPr>
        <w:t>2.将所有评标委员会成员所评各项的得分进行算术平均（按四舍五入原则精确到小数点后两位），再汇总得出该投标人的商务评分（按四舍五入原则精确到小数点后两位）。</w:t>
      </w:r>
    </w:p>
    <w:p>
      <w:pPr>
        <w:pStyle w:val="49"/>
      </w:pPr>
      <w:r>
        <w:rPr>
          <w:rFonts w:hint="eastAsia"/>
        </w:rPr>
        <w:t>  （五）价格评审</w:t>
      </w:r>
    </w:p>
    <w:p>
      <w:pPr>
        <w:pStyle w:val="24"/>
      </w:pPr>
      <w:r>
        <w:rPr>
          <w:rFonts w:hint="eastAsia"/>
        </w:rPr>
        <w:t>1．价格核准：评标委员会成员对有效投标人的详细报价进行复核，看其是否有计算错误或供货范围上的错误，修正错误的原则参见本章的第三条第（二）点。</w:t>
      </w:r>
    </w:p>
    <w:p>
      <w:pPr>
        <w:pStyle w:val="24"/>
      </w:pPr>
      <w:r>
        <w:rPr>
          <w:rFonts w:hint="eastAsia"/>
        </w:rPr>
        <w:t>2.计算价格评分：价格分统一采用低价优先法计算，各有效投标人的评标价（指投标报价经算术修正和落实政府采购政策需进行的价格扣除后的价格）中，取最低价为评标基准价，其价格分为满分。其他投标人的价格分统一按照下列公式计算：</w:t>
      </w:r>
    </w:p>
    <w:p>
      <w:pPr>
        <w:pStyle w:val="24"/>
      </w:pPr>
      <w:r>
        <w:rPr>
          <w:rFonts w:hint="eastAsia"/>
        </w:rPr>
        <w:t>投标报价价格评分=（评标基准价÷评标价）×30分</w:t>
      </w:r>
    </w:p>
    <w:p>
      <w:pPr>
        <w:pStyle w:val="24"/>
      </w:pPr>
      <w:r>
        <w:rPr>
          <w:rFonts w:hint="eastAsia"/>
        </w:rPr>
        <w:t>3.评标价仅用于计算价格评分，中标金额以实际投标价为准。</w:t>
      </w:r>
    </w:p>
    <w:p>
      <w:pPr>
        <w:pStyle w:val="49"/>
        <w:spacing w:line="360" w:lineRule="auto"/>
      </w:pPr>
      <w:r>
        <w:rPr>
          <w:rFonts w:hint="eastAsia"/>
        </w:rPr>
        <w:t>（七）综合评分的计算</w:t>
      </w:r>
    </w:p>
    <w:p>
      <w:pPr>
        <w:pStyle w:val="24"/>
      </w:pPr>
      <w:r>
        <w:rPr>
          <w:rFonts w:hint="eastAsia"/>
        </w:rPr>
        <w:t>1.综合评分=技术评分+商务评分+价格评分</w:t>
      </w:r>
    </w:p>
    <w:p>
      <w:pPr>
        <w:pStyle w:val="24"/>
      </w:pPr>
      <w:r>
        <w:rPr>
          <w:rFonts w:hint="eastAsia"/>
        </w:rPr>
        <w:t>2.各项得分按四舍五入原则精确到小数点后两位。</w:t>
      </w:r>
    </w:p>
    <w:p>
      <w:pPr>
        <w:pStyle w:val="49"/>
        <w:spacing w:line="360" w:lineRule="auto"/>
      </w:pPr>
      <w:r>
        <w:rPr>
          <w:rFonts w:hint="eastAsia"/>
        </w:rPr>
        <w:t>（八）中标候选人推荐</w:t>
      </w:r>
    </w:p>
    <w:p>
      <w:pPr>
        <w:pStyle w:val="24"/>
      </w:pPr>
      <w:r>
        <w:rPr>
          <w:rFonts w:hint="eastAsia"/>
        </w:rPr>
        <w:t>评标结果按评审后总得分由高到低顺序排列。总得分相同的按投标报价由低到高顺序排列。得分且投标报价相同的，由评委会采取随机抽取的方式确定。排名第一的投标供应商为第一中标候选人，排名第二的投标供应商为第二中标候选人。</w:t>
      </w:r>
    </w:p>
    <w:p>
      <w:pPr>
        <w:pStyle w:val="49"/>
      </w:pPr>
      <w:r>
        <w:rPr>
          <w:rFonts w:hint="eastAsia"/>
          <w:b/>
          <w:bCs/>
        </w:rPr>
        <w:t>五、项目废标处理</w:t>
      </w:r>
    </w:p>
    <w:p>
      <w:pPr>
        <w:spacing w:line="360" w:lineRule="auto"/>
        <w:ind w:firstLine="480" w:firstLineChars="200"/>
        <w:rPr>
          <w:rFonts w:ascii="宋体"/>
          <w:szCs w:val="24"/>
        </w:rPr>
      </w:pPr>
      <w:r>
        <w:rPr>
          <w:rFonts w:hint="eastAsia" w:ascii="宋体"/>
          <w:szCs w:val="24"/>
        </w:rPr>
        <w:t>根据《政府采购法》第三十六条及招标文件的约定，本项目下列情况出现将作废标处理：</w:t>
      </w:r>
    </w:p>
    <w:p>
      <w:pPr>
        <w:spacing w:line="360" w:lineRule="auto"/>
        <w:ind w:firstLine="480" w:firstLineChars="200"/>
        <w:rPr>
          <w:rFonts w:ascii="宋体"/>
          <w:szCs w:val="24"/>
        </w:rPr>
      </w:pPr>
      <w:r>
        <w:rPr>
          <w:rFonts w:hint="eastAsia" w:ascii="宋体"/>
          <w:szCs w:val="24"/>
        </w:rPr>
        <w:t>（一）符合专业资格条件的投标人或者对招标文件作实质响应的有效投标人不足三家的（说明：使用综合评分法的采购项目，提供相同品牌产品且通过资格审查、符合性审查的不同投标人参加同一合同项下投标的，按一家投标人计算）。</w:t>
      </w:r>
    </w:p>
    <w:p>
      <w:pPr>
        <w:spacing w:line="360" w:lineRule="auto"/>
        <w:ind w:firstLine="480" w:firstLineChars="200"/>
        <w:rPr>
          <w:rFonts w:ascii="宋体"/>
          <w:szCs w:val="24"/>
        </w:rPr>
      </w:pPr>
      <w:r>
        <w:rPr>
          <w:rFonts w:hint="eastAsia" w:ascii="宋体"/>
          <w:szCs w:val="24"/>
        </w:rPr>
        <w:t>（二）出现影响采购公正的违法、违规行为的。</w:t>
      </w:r>
    </w:p>
    <w:p>
      <w:pPr>
        <w:spacing w:line="360" w:lineRule="auto"/>
        <w:ind w:firstLine="480" w:firstLineChars="200"/>
        <w:rPr>
          <w:rFonts w:ascii="宋体"/>
          <w:szCs w:val="24"/>
        </w:rPr>
      </w:pPr>
      <w:r>
        <w:rPr>
          <w:rFonts w:hint="eastAsia" w:ascii="宋体"/>
          <w:szCs w:val="24"/>
        </w:rPr>
        <w:t xml:space="preserve">（三）投标人的报价均超过了采购预算，采购人不能支付的。 </w:t>
      </w:r>
    </w:p>
    <w:p>
      <w:pPr>
        <w:spacing w:line="360" w:lineRule="auto"/>
        <w:ind w:firstLine="480" w:firstLineChars="200"/>
        <w:rPr>
          <w:rFonts w:ascii="宋体"/>
          <w:szCs w:val="24"/>
        </w:rPr>
      </w:pPr>
      <w:r>
        <w:rPr>
          <w:rFonts w:hint="eastAsia" w:ascii="宋体"/>
          <w:szCs w:val="24"/>
        </w:rPr>
        <w:t>（四）因重大变故，采购任务取消的。</w:t>
      </w:r>
    </w:p>
    <w:p>
      <w:pPr>
        <w:spacing w:line="360" w:lineRule="auto"/>
        <w:ind w:firstLine="480" w:firstLineChars="200"/>
        <w:rPr>
          <w:rFonts w:ascii="宋体"/>
        </w:rPr>
      </w:pPr>
      <w:r>
        <w:rPr>
          <w:rFonts w:hint="eastAsia" w:ascii="宋体"/>
          <w:szCs w:val="24"/>
        </w:rPr>
        <w:t>对经评审后废标的采购项目，评标委员会应出具采购文件是否存在不合理条款的论证意见。</w:t>
      </w:r>
    </w:p>
    <w:p>
      <w:pPr>
        <w:pStyle w:val="49"/>
      </w:pPr>
      <w:r>
        <w:rPr>
          <w:rFonts w:hint="eastAsia"/>
          <w:b/>
          <w:bCs/>
        </w:rPr>
        <w:t>六、定标</w:t>
      </w:r>
    </w:p>
    <w:p>
      <w:pPr>
        <w:spacing w:line="360" w:lineRule="auto"/>
        <w:ind w:firstLine="480" w:firstLineChars="200"/>
        <w:rPr>
          <w:rFonts w:ascii="宋体"/>
          <w:szCs w:val="24"/>
        </w:rPr>
      </w:pPr>
      <w:r>
        <w:rPr>
          <w:rFonts w:hint="eastAsia" w:ascii="宋体"/>
          <w:szCs w:val="24"/>
        </w:rPr>
        <w:t>采购代理机构应当在评标结束后2个工作日内将评标报告及《确认采购结果通知书》送采购人，采购人应当自收到评标报告之日起5个工作日内，在评标报告确定的中标候选人名单中按顺序确定中标人。</w:t>
      </w:r>
    </w:p>
    <w:p>
      <w:pPr>
        <w:spacing w:line="360" w:lineRule="auto"/>
        <w:ind w:firstLine="480" w:firstLineChars="200"/>
        <w:rPr>
          <w:rFonts w:ascii="宋体"/>
          <w:szCs w:val="24"/>
        </w:rPr>
      </w:pPr>
      <w:r>
        <w:rPr>
          <w:rFonts w:hint="eastAsia" w:ascii="宋体"/>
          <w:szCs w:val="24"/>
        </w:rPr>
        <w:t>第一中标候选人放弃中标或被依法认定中标无效的，采购人可以按顺序选择第二中标候选人。也可以重新开展政府采购活动。</w:t>
      </w:r>
    </w:p>
    <w:p>
      <w:pPr>
        <w:ind w:firstLine="480" w:firstLineChars="200"/>
      </w:pPr>
      <w:r>
        <w:rPr>
          <w:rFonts w:hint="eastAsia"/>
        </w:rPr>
        <w:t>采购结果确认后，采购代理机构将中标结果在中国政府采购网（www.ccgp.gov.cn）和广州市政府采购中心采购综合管理服务平台网站（https://gzzfcg.gcycloud.cn/site/gzsaas/index.html）进行公告。不在中标名单之列者即为落标人，采购代理机构不再以其它方式另行通知。</w:t>
      </w:r>
    </w:p>
    <w:p>
      <w:pPr>
        <w:spacing w:line="360" w:lineRule="auto"/>
        <w:ind w:firstLine="480" w:firstLineChars="200"/>
        <w:rPr>
          <w:rFonts w:ascii="宋体"/>
          <w:szCs w:val="24"/>
        </w:rPr>
      </w:pPr>
      <w:r>
        <w:rPr>
          <w:rFonts w:hint="eastAsia" w:ascii="宋体"/>
          <w:szCs w:val="24"/>
        </w:rPr>
        <w:t>中标结果公告后，中标人须按招标文件第一章投标人须知的约定向采购代理机构支付公共资源交易服务费。采购代理机构完成支付确认后，采购人、中标人方可下载打印中标通知书。《中标通知书》将作为授予合同资格的唯一合法依据。</w:t>
      </w:r>
    </w:p>
    <w:p>
      <w:pPr>
        <w:spacing w:line="360" w:lineRule="auto"/>
        <w:ind w:firstLine="480" w:firstLineChars="200"/>
        <w:rPr>
          <w:rFonts w:ascii="宋体"/>
          <w:szCs w:val="24"/>
        </w:rPr>
      </w:pPr>
      <w:r>
        <w:rPr>
          <w:rFonts w:hint="eastAsia" w:ascii="宋体"/>
          <w:szCs w:val="24"/>
        </w:rPr>
        <w:t>中标人放弃中标的，应当依法承担相应的法律责任。</w:t>
      </w:r>
    </w:p>
    <w:p>
      <w:pPr>
        <w:spacing w:line="360" w:lineRule="auto"/>
        <w:ind w:firstLine="480" w:firstLineChars="200"/>
        <w:rPr>
          <w:rFonts w:ascii="宋体"/>
          <w:szCs w:val="24"/>
        </w:rPr>
      </w:pPr>
      <w:r>
        <w:rPr>
          <w:rFonts w:hint="eastAsia" w:ascii="宋体"/>
          <w:szCs w:val="24"/>
        </w:rPr>
        <w:t>凡发现中标人有下列行为之一的，将移交政府采购监督管理部门依法处理。</w:t>
      </w:r>
    </w:p>
    <w:p>
      <w:pPr>
        <w:widowControl/>
        <w:tabs>
          <w:tab w:val="left" w:pos="720"/>
        </w:tabs>
        <w:spacing w:line="360" w:lineRule="auto"/>
        <w:ind w:left="1418" w:hanging="1058"/>
        <w:rPr>
          <w:rFonts w:ascii="宋体"/>
          <w:szCs w:val="24"/>
        </w:rPr>
      </w:pPr>
      <w:r>
        <w:rPr>
          <w:rFonts w:hint="eastAsia" w:ascii="宋体"/>
          <w:szCs w:val="24"/>
        </w:rPr>
        <w:t>1.</w:t>
      </w:r>
      <w:r>
        <w:rPr>
          <w:rFonts w:hint="eastAsia" w:ascii="宋体"/>
          <w:szCs w:val="24"/>
        </w:rPr>
        <w:tab/>
      </w:r>
      <w:r>
        <w:rPr>
          <w:rFonts w:hint="eastAsia" w:ascii="宋体" w:cs="宋体"/>
          <w:szCs w:val="24"/>
        </w:rPr>
        <w:t>提供虚假材料谋取中标的</w:t>
      </w:r>
      <w:r>
        <w:rPr>
          <w:rFonts w:hint="eastAsia" w:ascii="宋体"/>
          <w:szCs w:val="24"/>
        </w:rPr>
        <w:t>。</w:t>
      </w:r>
    </w:p>
    <w:p>
      <w:pPr>
        <w:widowControl/>
        <w:tabs>
          <w:tab w:val="left" w:pos="720"/>
        </w:tabs>
        <w:spacing w:line="360" w:lineRule="auto"/>
        <w:ind w:left="1418" w:hanging="1058"/>
        <w:rPr>
          <w:rFonts w:ascii="宋体" w:cs="宋体"/>
          <w:szCs w:val="24"/>
        </w:rPr>
      </w:pPr>
      <w:r>
        <w:rPr>
          <w:rFonts w:hint="eastAsia" w:ascii="宋体" w:cs="宋体"/>
          <w:szCs w:val="24"/>
        </w:rPr>
        <w:t>2.</w:t>
      </w:r>
      <w:r>
        <w:rPr>
          <w:rFonts w:hint="eastAsia" w:ascii="宋体" w:cs="宋体"/>
          <w:szCs w:val="24"/>
        </w:rPr>
        <w:tab/>
      </w:r>
      <w:r>
        <w:rPr>
          <w:rFonts w:hint="eastAsia" w:ascii="宋体" w:cs="宋体"/>
          <w:szCs w:val="24"/>
        </w:rPr>
        <w:t>采取不正当手段诋毁、排挤其他供应商的。</w:t>
      </w:r>
    </w:p>
    <w:p>
      <w:pPr>
        <w:widowControl/>
        <w:tabs>
          <w:tab w:val="left" w:pos="720"/>
        </w:tabs>
        <w:spacing w:line="360" w:lineRule="auto"/>
        <w:ind w:left="1418" w:hanging="1058"/>
        <w:rPr>
          <w:rFonts w:ascii="宋体" w:cs="宋体"/>
          <w:szCs w:val="24"/>
        </w:rPr>
      </w:pPr>
      <w:r>
        <w:rPr>
          <w:rFonts w:hint="eastAsia" w:ascii="宋体" w:cs="宋体"/>
          <w:szCs w:val="24"/>
        </w:rPr>
        <w:t>3.</w:t>
      </w:r>
      <w:r>
        <w:rPr>
          <w:rFonts w:hint="eastAsia" w:ascii="宋体" w:cs="宋体"/>
          <w:szCs w:val="24"/>
        </w:rPr>
        <w:tab/>
      </w:r>
      <w:r>
        <w:rPr>
          <w:rFonts w:hint="eastAsia" w:ascii="宋体" w:cs="宋体"/>
          <w:szCs w:val="24"/>
        </w:rPr>
        <w:t>与采购人、其他供应商或者采购代理机构工作人员恶意串通的。</w:t>
      </w:r>
    </w:p>
    <w:p>
      <w:pPr>
        <w:widowControl/>
        <w:tabs>
          <w:tab w:val="left" w:pos="720"/>
        </w:tabs>
        <w:spacing w:line="360" w:lineRule="auto"/>
        <w:ind w:left="1418" w:hanging="1058"/>
        <w:rPr>
          <w:rFonts w:ascii="宋体" w:cs="宋体"/>
          <w:szCs w:val="24"/>
        </w:rPr>
      </w:pPr>
      <w:r>
        <w:rPr>
          <w:rFonts w:hint="eastAsia" w:ascii="宋体" w:cs="宋体"/>
          <w:szCs w:val="24"/>
        </w:rPr>
        <w:t>4.</w:t>
      </w:r>
      <w:r>
        <w:rPr>
          <w:rFonts w:hint="eastAsia" w:ascii="宋体" w:cs="宋体"/>
          <w:szCs w:val="24"/>
        </w:rPr>
        <w:tab/>
      </w:r>
      <w:r>
        <w:rPr>
          <w:rFonts w:hint="eastAsia" w:ascii="宋体" w:cs="宋体"/>
          <w:szCs w:val="24"/>
        </w:rPr>
        <w:t>向采购人、采购代理机构工作人员行贿或者提供其他不正当利益的。</w:t>
      </w:r>
    </w:p>
    <w:p>
      <w:pPr>
        <w:widowControl/>
        <w:tabs>
          <w:tab w:val="left" w:pos="720"/>
        </w:tabs>
        <w:spacing w:line="360" w:lineRule="auto"/>
        <w:ind w:left="1418" w:hanging="1058"/>
        <w:rPr>
          <w:rFonts w:ascii="宋体" w:cs="宋体"/>
          <w:szCs w:val="24"/>
        </w:rPr>
      </w:pPr>
      <w:r>
        <w:rPr>
          <w:rFonts w:hint="eastAsia" w:ascii="宋体" w:cs="宋体"/>
          <w:szCs w:val="24"/>
        </w:rPr>
        <w:t>5.</w:t>
      </w:r>
      <w:r>
        <w:rPr>
          <w:rFonts w:hint="eastAsia" w:ascii="宋体" w:cs="宋体"/>
          <w:szCs w:val="24"/>
        </w:rPr>
        <w:tab/>
      </w:r>
      <w:r>
        <w:rPr>
          <w:rFonts w:hint="eastAsia" w:ascii="宋体" w:cs="宋体"/>
          <w:szCs w:val="24"/>
        </w:rPr>
        <w:t>在招标采购过程中与采购人进行协商谈判的。</w:t>
      </w:r>
    </w:p>
    <w:p>
      <w:pPr>
        <w:widowControl/>
        <w:tabs>
          <w:tab w:val="left" w:pos="720"/>
        </w:tabs>
        <w:spacing w:line="360" w:lineRule="auto"/>
        <w:ind w:left="1418" w:hanging="1058"/>
        <w:rPr>
          <w:rFonts w:ascii="宋体" w:cs="宋体"/>
          <w:szCs w:val="24"/>
        </w:rPr>
      </w:pPr>
      <w:r>
        <w:rPr>
          <w:rFonts w:hint="eastAsia" w:ascii="宋体" w:cs="宋体"/>
          <w:szCs w:val="24"/>
        </w:rPr>
        <w:t>6.</w:t>
      </w:r>
      <w:r>
        <w:rPr>
          <w:rFonts w:hint="eastAsia" w:ascii="宋体" w:cs="宋体"/>
          <w:szCs w:val="24"/>
        </w:rPr>
        <w:tab/>
      </w:r>
      <w:r>
        <w:rPr>
          <w:rFonts w:hint="eastAsia" w:ascii="宋体" w:cs="宋体"/>
          <w:szCs w:val="24"/>
        </w:rPr>
        <w:t>拒绝有关部门监督检查或者提供虚假情况的。</w:t>
      </w:r>
    </w:p>
    <w:p>
      <w:pPr>
        <w:widowControl/>
        <w:tabs>
          <w:tab w:val="left" w:pos="720"/>
        </w:tabs>
        <w:spacing w:line="360" w:lineRule="auto"/>
        <w:ind w:left="1418" w:hanging="1058"/>
        <w:rPr>
          <w:rFonts w:ascii="宋体" w:cs="宋体"/>
          <w:szCs w:val="24"/>
        </w:rPr>
      </w:pPr>
      <w:r>
        <w:rPr>
          <w:rFonts w:hint="eastAsia" w:ascii="宋体" w:cs="宋体"/>
          <w:szCs w:val="24"/>
        </w:rPr>
        <w:t>7.</w:t>
      </w:r>
      <w:r>
        <w:rPr>
          <w:rFonts w:hint="eastAsia" w:ascii="宋体" w:cs="宋体"/>
          <w:szCs w:val="24"/>
        </w:rPr>
        <w:tab/>
      </w:r>
      <w:r>
        <w:rPr>
          <w:rFonts w:hint="eastAsia" w:ascii="宋体" w:cs="宋体"/>
          <w:szCs w:val="24"/>
        </w:rPr>
        <w:t>有法律、法规规定的其他损害采购人利益和社会公共利益情形的。</w:t>
      </w:r>
    </w:p>
    <w:p>
      <w:pPr>
        <w:pStyle w:val="49"/>
      </w:pPr>
      <w:r>
        <w:rPr>
          <w:rFonts w:hint="eastAsia"/>
        </w:rPr>
        <w:t>七、签约和备案</w:t>
      </w:r>
    </w:p>
    <w:p>
      <w:pPr>
        <w:pStyle w:val="8"/>
        <w:spacing w:line="360" w:lineRule="auto"/>
        <w:ind w:firstLine="480"/>
        <w:rPr>
          <w:rFonts w:ascii="宋体" w:cs="宋体"/>
          <w:sz w:val="24"/>
          <w:szCs w:val="24"/>
        </w:rPr>
      </w:pPr>
      <w:r>
        <w:rPr>
          <w:rFonts w:hint="eastAsia" w:ascii="宋体" w:cs="宋体"/>
          <w:sz w:val="24"/>
          <w:szCs w:val="24"/>
        </w:rPr>
        <w:t>（一）采购人应当自《中标通知书》发出之日起三十日（第二章采购需求有相应约定的从其约定）内，按照招标文件和中标人投标文件的约定，与中标人签订书面合同。所签订的合同不得对招标文件和中标人投标文件作实质性修改。超过30天尚未完成政府采购合同签订的政府采购项目，采购人应当登录中国政府采购网，填报未能依法签订政府采购合同的具体原因、整改措施和预计签订合同时间等信息。</w:t>
      </w:r>
    </w:p>
    <w:p>
      <w:pPr>
        <w:pStyle w:val="8"/>
        <w:spacing w:line="360" w:lineRule="auto"/>
        <w:ind w:firstLine="480"/>
        <w:rPr>
          <w:rFonts w:ascii="宋体" w:cs="宋体"/>
          <w:sz w:val="24"/>
          <w:szCs w:val="24"/>
        </w:rPr>
      </w:pPr>
      <w:r>
        <w:rPr>
          <w:rFonts w:hint="eastAsia" w:ascii="宋体" w:cs="宋体"/>
          <w:sz w:val="24"/>
          <w:szCs w:val="24"/>
        </w:rPr>
        <w:t>（二）采购人不得提出试用合格等任何不合理的要求作为签订合同的条件，且不得与中标人私下订立背离合同实质性内容的协议。</w:t>
      </w:r>
    </w:p>
    <w:p>
      <w:pPr>
        <w:pStyle w:val="8"/>
        <w:spacing w:line="360" w:lineRule="auto"/>
        <w:ind w:firstLine="480"/>
        <w:rPr>
          <w:rFonts w:ascii="宋体" w:cs="宋体"/>
          <w:sz w:val="24"/>
          <w:szCs w:val="24"/>
        </w:rPr>
      </w:pPr>
      <w:r>
        <w:rPr>
          <w:rFonts w:hint="eastAsia" w:ascii="宋体" w:cs="宋体"/>
          <w:sz w:val="24"/>
          <w:szCs w:val="24"/>
        </w:rPr>
        <w:t>（三）采购人应当自政府采购合同签订之日起2个工作日内，将政府采购合同在省级以上人民政府财政部门指定的媒体上公告，但政府采购合同中涉及国家秘密、商业秘密的内容除外。</w:t>
      </w:r>
    </w:p>
    <w:p>
      <w:pPr>
        <w:pStyle w:val="8"/>
        <w:spacing w:line="360" w:lineRule="auto"/>
        <w:ind w:firstLine="480"/>
        <w:rPr>
          <w:rFonts w:ascii="宋体" w:cs="宋体"/>
          <w:sz w:val="24"/>
          <w:szCs w:val="24"/>
        </w:rPr>
      </w:pPr>
      <w:r>
        <w:rPr>
          <w:rFonts w:hint="eastAsia" w:ascii="宋体" w:cs="宋体"/>
          <w:sz w:val="24"/>
          <w:szCs w:val="24"/>
        </w:rPr>
        <w:t>（四）采购人应当自政府采购合同签订之日起2个工作日内，登录中央预算管理一体化系统上传政府采购合同扫描版，如实填报政府采购合同的签订时间。依法签订的补充合同，也应在补充合同签订之日起2个工作日内公开并备案采购合同。</w:t>
      </w:r>
    </w:p>
    <w:p>
      <w:pPr>
        <w:spacing w:line="360" w:lineRule="auto"/>
        <w:ind w:firstLine="480" w:firstLineChars="200"/>
        <w:rPr>
          <w:rFonts w:ascii="宋体"/>
          <w:szCs w:val="24"/>
        </w:rPr>
      </w:pPr>
    </w:p>
    <w:p>
      <w:pPr>
        <w:spacing w:line="360" w:lineRule="auto"/>
        <w:ind w:firstLine="480" w:firstLineChars="200"/>
        <w:rPr>
          <w:rFonts w:ascii="宋体"/>
          <w:szCs w:val="24"/>
        </w:rPr>
        <w:sectPr>
          <w:pgSz w:w="11906" w:h="16838"/>
          <w:pgMar w:top="1440" w:right="1080" w:bottom="1440" w:left="1080" w:header="851" w:footer="992" w:gutter="0"/>
          <w:cols w:space="720" w:num="1"/>
          <w:docGrid w:type="lines" w:linePitch="326" w:charSpace="0"/>
        </w:sectPr>
      </w:pPr>
    </w:p>
    <w:p>
      <w:pPr>
        <w:pStyle w:val="48"/>
        <w:numPr>
          <w:ilvl w:val="0"/>
          <w:numId w:val="8"/>
        </w:numPr>
        <w:outlineLvl w:val="0"/>
        <w:rPr>
          <w:sz w:val="30"/>
        </w:rPr>
      </w:pPr>
      <w:r>
        <w:rPr>
          <w:rStyle w:val="33"/>
          <w:rFonts w:hint="eastAsia"/>
          <w:sz w:val="30"/>
        </w:rPr>
        <w:t>投标文件格式与要求</w:t>
      </w:r>
    </w:p>
    <w:p>
      <w:pPr>
        <w:pStyle w:val="48"/>
        <w:jc w:val="both"/>
        <w:outlineLvl w:val="0"/>
      </w:pPr>
      <w:r>
        <w:rPr>
          <w:rFonts w:hint="eastAsia"/>
        </w:rPr>
        <w:t>投标人应提交证明其有资格参加投标和中标后有能力履行合同的相关文件，并作为其投标文件的一部分，所有文件必须真实可靠、不得伪造，否则将按相关规定予以处罚。</w:t>
      </w:r>
    </w:p>
    <w:p>
      <w:pPr>
        <w:pStyle w:val="48"/>
        <w:jc w:val="both"/>
        <w:outlineLvl w:val="0"/>
      </w:pPr>
    </w:p>
    <w:p>
      <w:pPr>
        <w:pStyle w:val="48"/>
        <w:outlineLvl w:val="0"/>
      </w:pPr>
      <w:r>
        <w:rPr>
          <w:rFonts w:hint="eastAsia"/>
        </w:rPr>
        <w:t>建议投标人按本章所述的格式要求进行编制投标文件</w:t>
      </w:r>
    </w:p>
    <w:p>
      <w:pPr>
        <w:pStyle w:val="48"/>
        <w:outlineLvl w:val="0"/>
        <w:rPr>
          <w:sz w:val="30"/>
        </w:rPr>
      </w:pPr>
      <w:r>
        <w:rPr>
          <w:rFonts w:hint="eastAsia"/>
          <w:b/>
          <w:sz w:val="30"/>
        </w:rPr>
        <w:t>投标文件封面</w:t>
      </w:r>
    </w:p>
    <w:p>
      <w:pPr>
        <w:pStyle w:val="48"/>
        <w:rPr>
          <w:sz w:val="30"/>
        </w:rPr>
      </w:pPr>
      <w:r>
        <w:rPr>
          <w:rFonts w:hint="eastAsia"/>
          <w:b/>
          <w:sz w:val="30"/>
        </w:rPr>
        <w:t>（项目名称）</w:t>
      </w:r>
    </w:p>
    <w:p>
      <w:pPr>
        <w:pStyle w:val="48"/>
        <w:rPr>
          <w:sz w:val="30"/>
        </w:rPr>
      </w:pPr>
      <w:r>
        <w:rPr>
          <w:rFonts w:hint="eastAsia"/>
          <w:b/>
          <w:sz w:val="30"/>
        </w:rPr>
        <w:t>（正本/副本）</w:t>
      </w:r>
      <w:r>
        <w:rPr>
          <w:rFonts w:hint="eastAsia"/>
          <w:sz w:val="30"/>
        </w:rPr>
        <w:br w:type="textWrapping"/>
      </w:r>
      <w:r>
        <w:rPr>
          <w:rFonts w:hint="eastAsia"/>
          <w:sz w:val="30"/>
        </w:rPr>
        <w:br w:type="textWrapping"/>
      </w:r>
      <w:r>
        <w:rPr>
          <w:rFonts w:hint="eastAsia"/>
          <w:sz w:val="30"/>
        </w:rPr>
        <w:br w:type="textWrapping"/>
      </w:r>
      <w:r>
        <w:rPr>
          <w:rFonts w:hint="eastAsia"/>
          <w:sz w:val="30"/>
        </w:rPr>
        <w:br w:type="textWrapping"/>
      </w:r>
      <w:r>
        <w:rPr>
          <w:rFonts w:hint="eastAsia"/>
          <w:sz w:val="30"/>
        </w:rPr>
        <w:br w:type="textWrapping"/>
      </w:r>
    </w:p>
    <w:p>
      <w:pPr>
        <w:pStyle w:val="48"/>
        <w:outlineLvl w:val="0"/>
        <w:rPr>
          <w:sz w:val="30"/>
        </w:rPr>
      </w:pPr>
      <w:r>
        <w:rPr>
          <w:rFonts w:hint="eastAsia"/>
          <w:b/>
          <w:sz w:val="30"/>
        </w:rPr>
        <w:t>采购项目编号：</w:t>
      </w:r>
    </w:p>
    <w:p>
      <w:pPr>
        <w:pStyle w:val="48"/>
        <w:outlineLvl w:val="0"/>
        <w:rPr>
          <w:sz w:val="30"/>
        </w:rPr>
      </w:pPr>
      <w:r>
        <w:rPr>
          <w:rFonts w:hint="eastAsia"/>
          <w:b/>
          <w:sz w:val="30"/>
        </w:rPr>
        <w:t>（投标人名称）</w:t>
      </w:r>
    </w:p>
    <w:p>
      <w:pPr>
        <w:pStyle w:val="48"/>
        <w:outlineLvl w:val="0"/>
        <w:rPr>
          <w:sz w:val="30"/>
        </w:rPr>
      </w:pPr>
      <w:r>
        <w:rPr>
          <w:rFonts w:hint="eastAsia"/>
          <w:b/>
          <w:sz w:val="30"/>
        </w:rPr>
        <w:t>年 月 日</w:t>
      </w:r>
    </w:p>
    <w:p>
      <w:pPr>
        <w:pStyle w:val="48"/>
        <w:jc w:val="both"/>
        <w:outlineLvl w:val="0"/>
        <w:rPr>
          <w:sz w:val="30"/>
        </w:rPr>
      </w:pPr>
    </w:p>
    <w:p>
      <w:pPr>
        <w:rPr>
          <w:b/>
        </w:rPr>
      </w:pPr>
      <w:r>
        <w:rPr>
          <w:rFonts w:hint="eastAsia"/>
          <w:b/>
        </w:rPr>
        <w:br w:type="page"/>
      </w:r>
    </w:p>
    <w:p>
      <w:pPr>
        <w:pStyle w:val="48"/>
        <w:jc w:val="both"/>
        <w:outlineLvl w:val="0"/>
      </w:pPr>
      <w:r>
        <w:rPr>
          <w:rFonts w:hint="eastAsia"/>
          <w:b/>
        </w:rPr>
        <w:t>投标文件目录</w:t>
      </w:r>
    </w:p>
    <w:p>
      <w:pPr>
        <w:pStyle w:val="48"/>
        <w:jc w:val="both"/>
        <w:outlineLvl w:val="0"/>
      </w:pPr>
      <w:r>
        <w:rPr>
          <w:rFonts w:hint="eastAsia"/>
        </w:rPr>
        <w:t>一、投标函</w:t>
      </w:r>
    </w:p>
    <w:p>
      <w:pPr>
        <w:pStyle w:val="48"/>
        <w:jc w:val="both"/>
        <w:outlineLvl w:val="0"/>
      </w:pPr>
      <w:r>
        <w:rPr>
          <w:rFonts w:hint="eastAsia"/>
        </w:rPr>
        <w:t>二、开标一览表</w:t>
      </w:r>
    </w:p>
    <w:p>
      <w:pPr>
        <w:pStyle w:val="48"/>
        <w:jc w:val="both"/>
        <w:outlineLvl w:val="0"/>
      </w:pPr>
      <w:r>
        <w:rPr>
          <w:rFonts w:hint="eastAsia"/>
        </w:rPr>
        <w:t>三、分项报价表</w:t>
      </w:r>
    </w:p>
    <w:p>
      <w:pPr>
        <w:pStyle w:val="48"/>
        <w:jc w:val="both"/>
        <w:outlineLvl w:val="0"/>
      </w:pPr>
      <w:r>
        <w:rPr>
          <w:rFonts w:hint="eastAsia"/>
        </w:rPr>
        <w:t>四、实质性响应一览表</w:t>
      </w:r>
    </w:p>
    <w:p>
      <w:pPr>
        <w:pStyle w:val="48"/>
        <w:jc w:val="both"/>
        <w:outlineLvl w:val="0"/>
      </w:pPr>
      <w:r>
        <w:rPr>
          <w:rFonts w:hint="eastAsia"/>
        </w:rPr>
        <w:t>五、法定代表人证明书</w:t>
      </w:r>
    </w:p>
    <w:p>
      <w:pPr>
        <w:pStyle w:val="48"/>
        <w:jc w:val="both"/>
        <w:outlineLvl w:val="0"/>
      </w:pPr>
      <w:r>
        <w:rPr>
          <w:rFonts w:hint="eastAsia"/>
        </w:rPr>
        <w:t>六、法定代表人授权书</w:t>
      </w:r>
    </w:p>
    <w:p>
      <w:pPr>
        <w:pStyle w:val="48"/>
        <w:jc w:val="both"/>
        <w:outlineLvl w:val="0"/>
      </w:pPr>
      <w:r>
        <w:rPr>
          <w:rFonts w:hint="eastAsia"/>
        </w:rPr>
        <w:t>七、提供具有独立承担民事责任的能力的证明材料</w:t>
      </w:r>
    </w:p>
    <w:p>
      <w:pPr>
        <w:pStyle w:val="48"/>
        <w:jc w:val="both"/>
        <w:outlineLvl w:val="0"/>
      </w:pPr>
      <w:r>
        <w:rPr>
          <w:rFonts w:hint="eastAsia"/>
        </w:rPr>
        <w:t>八、承诺函</w:t>
      </w:r>
    </w:p>
    <w:p>
      <w:pPr>
        <w:pStyle w:val="48"/>
        <w:jc w:val="both"/>
        <w:outlineLvl w:val="0"/>
      </w:pPr>
      <w:r>
        <w:rPr>
          <w:rFonts w:hint="eastAsia"/>
        </w:rPr>
        <w:t>九、中小企业声明函</w:t>
      </w:r>
    </w:p>
    <w:p>
      <w:pPr>
        <w:pStyle w:val="48"/>
        <w:jc w:val="both"/>
        <w:outlineLvl w:val="0"/>
      </w:pPr>
      <w:r>
        <w:rPr>
          <w:rFonts w:hint="eastAsia"/>
        </w:rPr>
        <w:t>十、监狱企业</w:t>
      </w:r>
    </w:p>
    <w:p>
      <w:pPr>
        <w:pStyle w:val="48"/>
        <w:jc w:val="both"/>
        <w:outlineLvl w:val="0"/>
      </w:pPr>
      <w:r>
        <w:rPr>
          <w:rFonts w:hint="eastAsia"/>
        </w:rPr>
        <w:t>十一、残疾人福利性单位声明函</w:t>
      </w:r>
    </w:p>
    <w:p>
      <w:pPr>
        <w:pStyle w:val="48"/>
        <w:jc w:val="both"/>
        <w:outlineLvl w:val="0"/>
      </w:pPr>
      <w:r>
        <w:rPr>
          <w:rFonts w:hint="eastAsia"/>
        </w:rPr>
        <w:t>十二、投标人业绩及客户满意度情况表</w:t>
      </w:r>
    </w:p>
    <w:p>
      <w:pPr>
        <w:pStyle w:val="48"/>
        <w:jc w:val="both"/>
        <w:outlineLvl w:val="0"/>
      </w:pPr>
      <w:r>
        <w:rPr>
          <w:rFonts w:hint="eastAsia"/>
        </w:rPr>
        <w:t>十三、项目团队情况表</w:t>
      </w:r>
    </w:p>
    <w:p>
      <w:pPr>
        <w:pStyle w:val="48"/>
        <w:jc w:val="both"/>
        <w:outlineLvl w:val="0"/>
      </w:pPr>
      <w:r>
        <w:rPr>
          <w:rFonts w:hint="eastAsia"/>
        </w:rPr>
        <w:t>十四、技术指标响应表</w:t>
      </w:r>
    </w:p>
    <w:p>
      <w:pPr>
        <w:pStyle w:val="48"/>
        <w:jc w:val="both"/>
        <w:outlineLvl w:val="0"/>
      </w:pPr>
      <w:r>
        <w:rPr>
          <w:rFonts w:hint="eastAsia"/>
        </w:rPr>
        <w:t>十五、商务条件响应表</w:t>
      </w:r>
    </w:p>
    <w:p>
      <w:pPr>
        <w:pStyle w:val="48"/>
        <w:jc w:val="both"/>
        <w:outlineLvl w:val="0"/>
      </w:pPr>
      <w:r>
        <w:rPr>
          <w:rFonts w:hint="eastAsia"/>
        </w:rPr>
        <w:t>十六、履约进度计划表</w:t>
      </w:r>
    </w:p>
    <w:p>
      <w:pPr>
        <w:pStyle w:val="48"/>
        <w:jc w:val="both"/>
        <w:outlineLvl w:val="0"/>
      </w:pPr>
      <w:r>
        <w:rPr>
          <w:rFonts w:hint="eastAsia"/>
        </w:rPr>
        <w:t>十七、各类证明材料</w:t>
      </w:r>
    </w:p>
    <w:p>
      <w:pPr>
        <w:pStyle w:val="48"/>
        <w:jc w:val="both"/>
        <w:outlineLvl w:val="0"/>
      </w:pPr>
      <w:r>
        <w:rPr>
          <w:rFonts w:hint="eastAsia"/>
        </w:rPr>
        <w:t>十八、采购代理服务费支付承诺书</w:t>
      </w:r>
    </w:p>
    <w:p>
      <w:pPr>
        <w:pStyle w:val="48"/>
        <w:jc w:val="both"/>
        <w:outlineLvl w:val="0"/>
      </w:pPr>
      <w:r>
        <w:rPr>
          <w:rFonts w:hint="eastAsia"/>
        </w:rPr>
        <w:t>十九、需要采购人提供的附加条件</w:t>
      </w:r>
    </w:p>
    <w:p>
      <w:pPr>
        <w:pStyle w:val="48"/>
        <w:jc w:val="both"/>
        <w:outlineLvl w:val="0"/>
      </w:pPr>
      <w:r>
        <w:rPr>
          <w:rFonts w:hint="eastAsia"/>
        </w:rPr>
        <w:t>二十、售后服务方案、包装、保险及运输方案等</w:t>
      </w:r>
    </w:p>
    <w:p>
      <w:pPr>
        <w:pStyle w:val="48"/>
        <w:jc w:val="both"/>
        <w:outlineLvl w:val="0"/>
      </w:pPr>
      <w:r>
        <w:rPr>
          <w:rFonts w:hint="eastAsia"/>
        </w:rPr>
        <w:t>二十一、政府采购履约担保函</w:t>
      </w:r>
    </w:p>
    <w:p>
      <w:pPr>
        <w:pStyle w:val="48"/>
        <w:jc w:val="both"/>
        <w:outlineLvl w:val="0"/>
      </w:pPr>
      <w:r>
        <w:rPr>
          <w:rFonts w:hint="eastAsia"/>
        </w:rPr>
        <w:t>二十二、初步审查自查表</w:t>
      </w:r>
    </w:p>
    <w:p>
      <w:pPr>
        <w:pStyle w:val="48"/>
        <w:jc w:val="both"/>
        <w:outlineLvl w:val="0"/>
      </w:pPr>
      <w:r>
        <w:rPr>
          <w:rFonts w:hint="eastAsia"/>
        </w:rPr>
        <w:t>二十三、技术评分、商务评分自查表</w:t>
      </w:r>
    </w:p>
    <w:p>
      <w:pPr>
        <w:pStyle w:val="48"/>
        <w:jc w:val="both"/>
        <w:outlineLvl w:val="0"/>
      </w:pPr>
      <w:r>
        <w:rPr>
          <w:rFonts w:hint="eastAsia"/>
        </w:rPr>
        <w:t>二十四：分包意向协议书</w:t>
      </w:r>
    </w:p>
    <w:p>
      <w:pPr>
        <w:pStyle w:val="48"/>
        <w:jc w:val="both"/>
        <w:outlineLvl w:val="0"/>
      </w:pPr>
      <w:r>
        <w:rPr>
          <w:rFonts w:hint="eastAsia"/>
          <w:color w:val="000000"/>
          <w:position w:val="-1"/>
        </w:rPr>
        <w:t>二十五：</w:t>
      </w:r>
      <w:r>
        <w:rPr>
          <w:rFonts w:hint="eastAsia"/>
          <w:color w:val="000000"/>
          <w:position w:val="-1"/>
          <w:lang w:val="zh-CN"/>
        </w:rPr>
        <w:t>质量保障承诺书</w:t>
      </w:r>
    </w:p>
    <w:p>
      <w:pPr>
        <w:pStyle w:val="48"/>
        <w:jc w:val="both"/>
        <w:outlineLvl w:val="0"/>
      </w:pPr>
    </w:p>
    <w:p>
      <w:pPr>
        <w:pStyle w:val="48"/>
        <w:jc w:val="both"/>
        <w:outlineLvl w:val="0"/>
      </w:pPr>
    </w:p>
    <w:p>
      <w:pPr>
        <w:pStyle w:val="48"/>
        <w:jc w:val="both"/>
        <w:outlineLvl w:val="0"/>
      </w:pPr>
    </w:p>
    <w:p>
      <w:pPr>
        <w:pStyle w:val="48"/>
        <w:jc w:val="both"/>
        <w:outlineLvl w:val="0"/>
        <w:sectPr>
          <w:pgSz w:w="11906" w:h="16838"/>
          <w:pgMar w:top="1440" w:right="1080" w:bottom="1440" w:left="1080" w:header="851" w:footer="992" w:gutter="0"/>
          <w:cols w:space="720" w:num="1"/>
          <w:docGrid w:type="lines" w:linePitch="326" w:charSpace="0"/>
        </w:sectPr>
      </w:pPr>
    </w:p>
    <w:p>
      <w:pPr>
        <w:pStyle w:val="75"/>
        <w:outlineLvl w:val="2"/>
      </w:pPr>
      <w:r>
        <w:rPr>
          <w:b/>
          <w:sz w:val="28"/>
        </w:rPr>
        <w:t>格式一：</w:t>
      </w:r>
    </w:p>
    <w:p>
      <w:pPr>
        <w:pStyle w:val="75"/>
        <w:jc w:val="center"/>
        <w:outlineLvl w:val="3"/>
      </w:pPr>
      <w:r>
        <w:rPr>
          <w:b/>
          <w:sz w:val="24"/>
        </w:rPr>
        <w:t>投标函</w:t>
      </w:r>
    </w:p>
    <w:p>
      <w:pPr>
        <w:pStyle w:val="75"/>
        <w:ind w:firstLine="480"/>
      </w:pPr>
      <w:r>
        <w:t xml:space="preserve"> 致：</w:t>
      </w:r>
      <w:r>
        <w:rPr>
          <w:u w:val="single"/>
        </w:rPr>
        <w:t>广州市政府采购中心</w:t>
      </w:r>
    </w:p>
    <w:p>
      <w:pPr>
        <w:pStyle w:val="75"/>
        <w:ind w:firstLine="480"/>
      </w:pPr>
      <w:r>
        <w:t xml:space="preserve"> 你方组织的</w:t>
      </w:r>
      <w:r>
        <w:rPr>
          <w:u w:val="single"/>
        </w:rPr>
        <w:t>“</w:t>
      </w:r>
      <w:r>
        <w:rPr>
          <w:rFonts w:hint="eastAsia"/>
          <w:u w:val="single"/>
        </w:rPr>
        <w:t>广州海关食堂食材配送服务</w:t>
      </w:r>
      <w:r>
        <w:rPr>
          <w:u w:val="single"/>
        </w:rPr>
        <w:t>”</w:t>
      </w:r>
      <w:r>
        <w:t>项目的招标[采购项目编号为：</w:t>
      </w:r>
      <w:r>
        <w:rPr>
          <w:rFonts w:hint="eastAsia"/>
          <w:u w:val="single"/>
          <w:lang w:eastAsia="zh-CN"/>
        </w:rPr>
        <w:t>QCZ2026-0010</w:t>
      </w:r>
      <w:r>
        <w:t>]，我方愿参与投标。</w:t>
      </w:r>
    </w:p>
    <w:p>
      <w:pPr>
        <w:pStyle w:val="75"/>
        <w:ind w:firstLine="480"/>
      </w:pPr>
      <w:r>
        <w:t>我方确认收到贵方提供的</w:t>
      </w:r>
      <w:r>
        <w:rPr>
          <w:u w:val="single"/>
        </w:rPr>
        <w:t>“</w:t>
      </w:r>
      <w:r>
        <w:rPr>
          <w:rFonts w:hint="eastAsia"/>
          <w:u w:val="single"/>
        </w:rPr>
        <w:t>广州海关食堂食材配送服务</w:t>
      </w:r>
      <w:r>
        <w:rPr>
          <w:u w:val="single"/>
        </w:rPr>
        <w:t>”</w:t>
      </w:r>
      <w:r>
        <w:t>项目的招标文件的全部内容。</w:t>
      </w:r>
    </w:p>
    <w:p>
      <w:pPr>
        <w:pStyle w:val="75"/>
        <w:ind w:firstLine="480"/>
      </w:pPr>
      <w:r>
        <w:t xml:space="preserve"> 我方在参与投标前已详细研究了招标文件的所有内容，包括澄清、修改文件（如果有）和所有已提供的参考资料以及有关附件，我方完全明白并认为此招标文件没有倾向性，也不存在排斥潜在投标人的内容，我方同意招标文件的相关条款，放弃对招标文件提出误解和质疑的一切权利。</w:t>
      </w:r>
    </w:p>
    <w:p>
      <w:pPr>
        <w:pStyle w:val="75"/>
        <w:ind w:firstLine="480"/>
      </w:pPr>
      <w:r>
        <w:rPr>
          <w:u w:val="single"/>
        </w:rPr>
        <w:t>(投标人名称)</w:t>
      </w:r>
      <w:r>
        <w:t>作为投标人正式授权</w:t>
      </w:r>
      <w:r>
        <w:rPr>
          <w:u w:val="single"/>
        </w:rPr>
        <w:t>(授权代表全名,职务)</w:t>
      </w:r>
      <w:r>
        <w:t>代表我方全权处理有关本投标的一切事宜。</w:t>
      </w:r>
    </w:p>
    <w:p>
      <w:pPr>
        <w:pStyle w:val="75"/>
        <w:ind w:firstLine="480"/>
      </w:pPr>
      <w:r>
        <w:t>我方已完全明白招标文件的所有条款要求，并申明如下：</w:t>
      </w:r>
    </w:p>
    <w:p>
      <w:pPr>
        <w:pStyle w:val="75"/>
        <w:ind w:firstLine="480"/>
      </w:pPr>
      <w:r>
        <w:t xml:space="preserve"> （一）按招标文件提供的全部货物与相关服务的投标总价详见《开标一览表》。</w:t>
      </w:r>
    </w:p>
    <w:p>
      <w:pPr>
        <w:pStyle w:val="75"/>
        <w:ind w:firstLine="480"/>
      </w:pPr>
      <w:r>
        <w:t xml:space="preserve"> （二）本投标文件的有效期为从提交投标（响应）文件的截止之日起90日历天。如中标，有效期将延至合同终止日为止。在此提交的资格证明文件均至投标截止日有效，如有在投标有效期内失效的，我方承诺在中标后补齐一切手续，保证所有资格证明文件能在签订采购合同时直至采购合同终止日有效。</w:t>
      </w:r>
    </w:p>
    <w:p>
      <w:pPr>
        <w:pStyle w:val="75"/>
        <w:ind w:firstLine="480"/>
      </w:pPr>
      <w:r>
        <w:t xml:space="preserve"> （三）我方愿意向贵方提供任何与本项报价有关的数据、情况和技术资料。若贵方需要，我方愿意提供我方作出的一切承诺的证明材料。</w:t>
      </w:r>
    </w:p>
    <w:p>
      <w:pPr>
        <w:pStyle w:val="75"/>
        <w:ind w:firstLine="480"/>
      </w:pPr>
      <w:r>
        <w:t xml:space="preserve"> （四）我方理解贵方不一定接受最低投标价或任何贵方可能收到的投标。</w:t>
      </w:r>
    </w:p>
    <w:p>
      <w:pPr>
        <w:pStyle w:val="75"/>
        <w:ind w:firstLine="480"/>
      </w:pPr>
      <w:r>
        <w:t xml:space="preserve"> （五）我方如果中标，将保证履行招标文件及其澄清、修改文件（如果有）中的全部责任和义务，按质、按量、按期完成《采购需求》及《合同书》中的全部任务。</w:t>
      </w:r>
    </w:p>
    <w:p>
      <w:pPr>
        <w:pStyle w:val="75"/>
        <w:ind w:firstLine="480"/>
      </w:pPr>
      <w:r>
        <w:t xml:space="preserve"> （六）我方作为法律、财务和运作上独立于采购人、采购代理机构的投标人，在此保证所提交的所有文件和全部说明是真实的和正确的。</w:t>
      </w:r>
    </w:p>
    <w:p>
      <w:pPr>
        <w:pStyle w:val="75"/>
        <w:ind w:firstLine="480"/>
      </w:pPr>
      <w:r>
        <w:t xml:space="preserve"> （七）我方投标报价已包含应向知识产权所有权人支付的所有相关税费，并保证采购人在中国使用我方提供的货物或服务时，如有第三方提出侵犯其知识产权主张的，责任由我方承担。</w:t>
      </w:r>
    </w:p>
    <w:p>
      <w:pPr>
        <w:pStyle w:val="75"/>
        <w:ind w:firstLine="480"/>
      </w:pPr>
      <w:r>
        <w:t xml:space="preserve"> （八）我方接受采购人委托向贵方支付代理服务费，项目总报价已包含代理服务费，如果被确定为中标供应商，承诺向贵方足额支付。（若采购人支付代理服务费，则此条不适用）</w:t>
      </w:r>
    </w:p>
    <w:p>
      <w:pPr>
        <w:pStyle w:val="75"/>
        <w:ind w:firstLine="480"/>
      </w:pPr>
      <w:r>
        <w:t xml:space="preserve"> （九）我方与其他投标人不存在法定代表人或单位负责人为同一人或者存在直接控股、管理关系。</w:t>
      </w:r>
    </w:p>
    <w:p>
      <w:pPr>
        <w:pStyle w:val="75"/>
        <w:ind w:firstLine="480"/>
      </w:pPr>
      <w:r>
        <w:t xml:space="preserve"> （十）我方承诺未为本项目提供整体设计、规范编制或者项目管理、监理、检测等服务。</w:t>
      </w:r>
    </w:p>
    <w:p>
      <w:pPr>
        <w:pStyle w:val="75"/>
        <w:ind w:firstLine="480"/>
      </w:pPr>
      <w:r>
        <w:t>（十一）我方未被列入法院失信被执行人名单中。</w:t>
      </w:r>
    </w:p>
    <w:p>
      <w:pPr>
        <w:pStyle w:val="75"/>
        <w:ind w:firstLine="480"/>
      </w:pPr>
      <w:r>
        <w:t>（十二）我方承诺遵守《中华人民共和国民法典》有关规定和《中华人民共和国妇女权益保障法》中关于“劳动和社会保障权益”的有关要求。</w:t>
      </w:r>
    </w:p>
    <w:p>
      <w:pPr>
        <w:pStyle w:val="75"/>
        <w:ind w:firstLine="480"/>
      </w:pPr>
      <w:r>
        <w:t xml:space="preserve"> （十三）我方具备《中华人民共和国政府采购法》第二十二条规定的条件，承诺如下：</w:t>
      </w:r>
    </w:p>
    <w:p>
      <w:pPr>
        <w:pStyle w:val="75"/>
        <w:ind w:firstLine="480"/>
      </w:pPr>
      <w:r>
        <w:t xml:space="preserve"> （1）我方参加本项目政府采购活动前3年内在经营活动中没有以下违法记录，或因违法经营被禁止参加政府采购活动的期限已届满：因违法经营受到刑事处罚或者责令停产停业、吊销许可证或者执照、较大数额罚款等行政处罚。</w:t>
      </w:r>
    </w:p>
    <w:p>
      <w:pPr>
        <w:pStyle w:val="75"/>
        <w:ind w:firstLine="480"/>
      </w:pPr>
      <w:r>
        <w:t xml:space="preserve"> （2）我方符合法律、行政法规规定的其他条件。</w:t>
      </w:r>
    </w:p>
    <w:p>
      <w:pPr>
        <w:pStyle w:val="75"/>
        <w:ind w:firstLine="480"/>
      </w:pPr>
      <w:r>
        <w:t>以上内容如有虚假或与事实不符的，评标委员会可将我方做无效投标处理，我方愿意承担相应的法律责任。</w:t>
      </w:r>
    </w:p>
    <w:p>
      <w:pPr>
        <w:pStyle w:val="75"/>
        <w:ind w:firstLine="480"/>
      </w:pPr>
      <w:r>
        <w:t xml:space="preserve"> （十四）我方对在本函及投标文件中所作的所有承诺承担法律责任。</w:t>
      </w:r>
    </w:p>
    <w:p>
      <w:pPr>
        <w:pStyle w:val="75"/>
        <w:ind w:firstLine="480"/>
      </w:pPr>
      <w:r>
        <w:t xml:space="preserve"> （十五）所有与本招标有关的函件请发往下列地址：</w:t>
      </w:r>
    </w:p>
    <w:p>
      <w:pPr>
        <w:pStyle w:val="75"/>
        <w:ind w:firstLine="480"/>
      </w:pPr>
      <w:r>
        <w:t xml:space="preserve"> 地 址：__________________邮政编码：__________________</w:t>
      </w:r>
    </w:p>
    <w:p>
      <w:pPr>
        <w:pStyle w:val="75"/>
        <w:ind w:firstLine="480"/>
      </w:pPr>
      <w:r>
        <w:t xml:space="preserve"> 电 话：__________________</w:t>
      </w:r>
    </w:p>
    <w:p>
      <w:pPr>
        <w:pStyle w:val="75"/>
        <w:ind w:firstLine="480"/>
      </w:pPr>
      <w:r>
        <w:t xml:space="preserve"> 传 真：__________________</w:t>
      </w:r>
    </w:p>
    <w:p>
      <w:pPr>
        <w:pStyle w:val="75"/>
        <w:ind w:firstLine="480"/>
      </w:pPr>
      <w:r>
        <w:t xml:space="preserve"> 代表姓名：__________________职 务：__________________</w:t>
      </w:r>
    </w:p>
    <w:p>
      <w:pPr>
        <w:pStyle w:val="75"/>
        <w:ind w:firstLine="480"/>
      </w:pPr>
      <w:r>
        <w:t xml:space="preserve"> 投标人法定代表人（或法定代表人授权代表）签字或盖章：__________________</w:t>
      </w:r>
    </w:p>
    <w:p>
      <w:pPr>
        <w:pStyle w:val="75"/>
      </w:pPr>
      <w:r>
        <w:t xml:space="preserve"> 投标人名称（盖章）：__________________</w:t>
      </w:r>
    </w:p>
    <w:p>
      <w:pPr>
        <w:pStyle w:val="75"/>
      </w:pPr>
      <w:r>
        <w:t xml:space="preserve"> 日期： 年 月 日</w:t>
      </w:r>
    </w:p>
    <w:p>
      <w:pPr>
        <w:pStyle w:val="75"/>
        <w:ind w:firstLine="480"/>
      </w:pPr>
      <w:bookmarkStart w:id="12" w:name="_GoBack"/>
      <w:bookmarkEnd w:id="12"/>
    </w:p>
    <w:p>
      <w:pPr>
        <w:pStyle w:val="75"/>
        <w:outlineLvl w:val="2"/>
      </w:pPr>
      <w:r>
        <w:rPr>
          <w:b/>
          <w:sz w:val="28"/>
        </w:rPr>
        <w:t>格式二：</w:t>
      </w:r>
    </w:p>
    <w:p>
      <w:pPr>
        <w:pStyle w:val="75"/>
        <w:jc w:val="center"/>
        <w:outlineLvl w:val="3"/>
      </w:pPr>
      <w:r>
        <w:rPr>
          <w:b/>
          <w:sz w:val="24"/>
        </w:rPr>
        <w:t>开标一览表</w:t>
      </w:r>
    </w:p>
    <w:p>
      <w:pPr>
        <w:pStyle w:val="75"/>
        <w:ind w:firstLine="480"/>
      </w:pPr>
      <w:r>
        <w:t xml:space="preserve"> 注：投标供应商应在投标客户端【报价部分】进行填写，投标客户端软件将自动根据供应商填写信息在线生成开标一览表，若在投标文件中出现非系统生成的开标一览表，且与投标客户端生成的开标一览表信息内容不一致，以投标客户端在线填写报价并生成的内容为准。（下列表样仅供参考）</w:t>
      </w:r>
      <w:r>
        <w:br w:type="textWrapping"/>
      </w:r>
    </w:p>
    <w:p>
      <w:pPr>
        <w:pStyle w:val="75"/>
        <w:ind w:firstLine="480"/>
      </w:pPr>
      <w:r>
        <w:t>采购项目编号：</w:t>
      </w:r>
    </w:p>
    <w:p>
      <w:pPr>
        <w:pStyle w:val="75"/>
        <w:ind w:firstLine="480"/>
      </w:pPr>
      <w:r>
        <w:t>项目名称：</w:t>
      </w:r>
    </w:p>
    <w:p>
      <w:pPr>
        <w:pStyle w:val="75"/>
        <w:ind w:firstLine="480"/>
      </w:pPr>
      <w:r>
        <w:t>投标人名称：</w:t>
      </w:r>
    </w:p>
    <w:tbl>
      <w:tblPr>
        <w:tblStyle w:val="31"/>
        <w:tblW w:w="0" w:type="auto"/>
        <w:tblInd w:w="0" w:type="dxa"/>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Layout w:type="autofit"/>
        <w:tblCellMar>
          <w:top w:w="0" w:type="dxa"/>
          <w:left w:w="108" w:type="dxa"/>
          <w:bottom w:w="0" w:type="dxa"/>
          <w:right w:w="108" w:type="dxa"/>
        </w:tblCellMar>
      </w:tblPr>
      <w:tblGrid>
        <w:gridCol w:w="1661"/>
        <w:gridCol w:w="1661"/>
        <w:gridCol w:w="1661"/>
        <w:gridCol w:w="1661"/>
        <w:gridCol w:w="1661"/>
      </w:tblGrid>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c>
          <w:tcPr>
            <w:tcW w:w="1661" w:type="dxa"/>
          </w:tcPr>
          <w:p>
            <w:pPr>
              <w:pStyle w:val="75"/>
            </w:pPr>
            <w:r>
              <w:t xml:space="preserve"> 序号</w:t>
            </w:r>
          </w:p>
        </w:tc>
        <w:tc>
          <w:tcPr>
            <w:tcW w:w="1661" w:type="dxa"/>
          </w:tcPr>
          <w:p>
            <w:pPr>
              <w:pStyle w:val="75"/>
            </w:pPr>
            <w:r>
              <w:t xml:space="preserve"> 采购项目名称</w:t>
            </w:r>
          </w:p>
        </w:tc>
        <w:tc>
          <w:tcPr>
            <w:tcW w:w="1661" w:type="dxa"/>
          </w:tcPr>
          <w:p>
            <w:pPr>
              <w:pStyle w:val="75"/>
            </w:pPr>
            <w:r>
              <w:t xml:space="preserve"> 投标报价（</w:t>
            </w:r>
            <w:r>
              <w:rPr>
                <w:rFonts w:hint="eastAsia"/>
              </w:rPr>
              <w:t>%</w:t>
            </w:r>
            <w:r>
              <w:t>）</w:t>
            </w:r>
          </w:p>
        </w:tc>
        <w:tc>
          <w:tcPr>
            <w:tcW w:w="1661" w:type="dxa"/>
          </w:tcPr>
          <w:p>
            <w:pPr>
              <w:pStyle w:val="75"/>
            </w:pPr>
            <w:r>
              <w:t xml:space="preserve"> 交货或服务期</w:t>
            </w:r>
          </w:p>
        </w:tc>
        <w:tc>
          <w:tcPr>
            <w:tcW w:w="1661" w:type="dxa"/>
          </w:tcPr>
          <w:p>
            <w:pPr>
              <w:pStyle w:val="75"/>
            </w:pPr>
            <w:r>
              <w:t xml:space="preserve"> 交货或服务地点</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c>
          <w:tcPr>
            <w:tcW w:w="1661" w:type="dxa"/>
          </w:tcPr>
          <w:p>
            <w:pPr>
              <w:pStyle w:val="75"/>
            </w:pPr>
            <w:r>
              <w:t xml:space="preserve"> 1</w:t>
            </w:r>
          </w:p>
        </w:tc>
        <w:tc>
          <w:tcPr>
            <w:tcW w:w="1661" w:type="dxa"/>
            <w:tcBorders>
              <w:top w:val="single" w:color="auto" w:sz="2" w:space="0"/>
              <w:left w:val="single" w:color="auto" w:sz="2" w:space="0"/>
              <w:right w:val="single" w:color="auto" w:sz="2" w:space="0"/>
            </w:tcBorders>
          </w:tcPr>
          <w:p/>
        </w:tc>
        <w:tc>
          <w:tcPr>
            <w:tcW w:w="1661" w:type="dxa"/>
            <w:tcBorders>
              <w:top w:val="single" w:color="auto" w:sz="2" w:space="0"/>
              <w:left w:val="single" w:color="auto" w:sz="2" w:space="0"/>
              <w:right w:val="single" w:color="auto" w:sz="2" w:space="0"/>
            </w:tcBorders>
          </w:tcPr>
          <w:p/>
        </w:tc>
        <w:tc>
          <w:tcPr>
            <w:tcW w:w="1661" w:type="dxa"/>
            <w:tcBorders>
              <w:top w:val="single" w:color="auto" w:sz="2" w:space="0"/>
              <w:left w:val="single" w:color="auto" w:sz="2" w:space="0"/>
              <w:right w:val="single" w:color="auto" w:sz="2" w:space="0"/>
            </w:tcBorders>
          </w:tcPr>
          <w:p/>
        </w:tc>
        <w:tc>
          <w:tcPr>
            <w:tcW w:w="1661" w:type="dxa"/>
          </w:tcPr>
          <w:p/>
        </w:tc>
      </w:tr>
    </w:tbl>
    <w:p>
      <w:pPr>
        <w:pStyle w:val="75"/>
      </w:pPr>
      <w:r>
        <w:t xml:space="preserve"> 投标人签章：__________________</w:t>
      </w:r>
    </w:p>
    <w:p>
      <w:pPr>
        <w:pStyle w:val="75"/>
      </w:pPr>
      <w:r>
        <w:t>日期： 年 月 日</w:t>
      </w:r>
    </w:p>
    <w:p>
      <w:pPr>
        <w:pStyle w:val="75"/>
        <w:ind w:firstLine="480"/>
      </w:pPr>
    </w:p>
    <w:p>
      <w:pPr>
        <w:pStyle w:val="75"/>
        <w:outlineLvl w:val="2"/>
      </w:pPr>
      <w:r>
        <w:rPr>
          <w:b/>
          <w:sz w:val="28"/>
        </w:rPr>
        <w:t>格式三：</w:t>
      </w:r>
    </w:p>
    <w:p>
      <w:pPr>
        <w:pStyle w:val="75"/>
        <w:jc w:val="center"/>
        <w:outlineLvl w:val="3"/>
      </w:pPr>
      <w:r>
        <w:rPr>
          <w:b/>
          <w:sz w:val="24"/>
        </w:rPr>
        <w:t>分项报价表</w:t>
      </w:r>
    </w:p>
    <w:p>
      <w:pPr>
        <w:spacing w:line="500" w:lineRule="exact"/>
        <w:ind w:firstLine="400" w:firstLineChars="200"/>
        <w:jc w:val="left"/>
        <w:rPr>
          <w:rFonts w:ascii="Calibri" w:hAnsi="Calibri" w:cs="Arial"/>
          <w:kern w:val="0"/>
          <w:sz w:val="20"/>
          <w:szCs w:val="20"/>
        </w:rPr>
      </w:pPr>
      <w:r>
        <w:rPr>
          <w:rFonts w:hint="eastAsia" w:ascii="Calibri" w:hAnsi="Calibri" w:cs="Arial"/>
          <w:kern w:val="0"/>
          <w:sz w:val="20"/>
          <w:szCs w:val="20"/>
        </w:rPr>
        <w:t>采购项目编号：</w:t>
      </w:r>
    </w:p>
    <w:p>
      <w:pPr>
        <w:spacing w:line="500" w:lineRule="exact"/>
        <w:ind w:firstLine="404" w:firstLineChars="202"/>
        <w:jc w:val="left"/>
        <w:rPr>
          <w:rFonts w:ascii="Calibri" w:hAnsi="Calibri" w:cs="Arial"/>
          <w:kern w:val="0"/>
          <w:sz w:val="20"/>
          <w:szCs w:val="20"/>
        </w:rPr>
      </w:pPr>
      <w:r>
        <w:rPr>
          <w:rFonts w:hint="eastAsia" w:ascii="Calibri" w:hAnsi="Calibri" w:cs="Arial"/>
          <w:kern w:val="0"/>
          <w:sz w:val="20"/>
          <w:szCs w:val="20"/>
        </w:rPr>
        <w:t>项目名称：</w:t>
      </w:r>
    </w:p>
    <w:p>
      <w:pPr>
        <w:spacing w:line="500" w:lineRule="exact"/>
        <w:ind w:firstLine="404" w:firstLineChars="202"/>
        <w:jc w:val="left"/>
        <w:rPr>
          <w:rFonts w:ascii="Calibri" w:hAnsi="Calibri" w:cs="Arial"/>
          <w:kern w:val="0"/>
          <w:sz w:val="20"/>
          <w:szCs w:val="20"/>
        </w:rPr>
      </w:pPr>
      <w:r>
        <w:rPr>
          <w:rFonts w:hint="eastAsia" w:ascii="Calibri" w:hAnsi="Calibri" w:cs="Arial"/>
          <w:kern w:val="0"/>
          <w:sz w:val="20"/>
          <w:szCs w:val="20"/>
        </w:rPr>
        <w:t>投标人名称：</w:t>
      </w:r>
    </w:p>
    <w:p>
      <w:pPr>
        <w:spacing w:line="500" w:lineRule="exact"/>
        <w:ind w:firstLine="404" w:firstLineChars="202"/>
        <w:jc w:val="left"/>
        <w:rPr>
          <w:rFonts w:ascii="Calibri" w:hAnsi="Calibri" w:cs="Arial"/>
          <w:kern w:val="0"/>
          <w:sz w:val="20"/>
          <w:szCs w:val="20"/>
        </w:rPr>
      </w:pPr>
      <w:r>
        <w:rPr>
          <w:rFonts w:hint="eastAsia" w:ascii="Calibri" w:hAnsi="Calibri" w:cs="Arial"/>
          <w:kern w:val="0"/>
          <w:sz w:val="20"/>
          <w:szCs w:val="20"/>
        </w:rPr>
        <w:t>采购包：</w:t>
      </w:r>
    </w:p>
    <w:p>
      <w:pPr>
        <w:spacing w:line="500" w:lineRule="exact"/>
        <w:ind w:firstLine="404" w:firstLineChars="202"/>
        <w:jc w:val="left"/>
        <w:rPr>
          <w:rFonts w:ascii="Calibri" w:hAnsi="Calibri" w:cs="Arial"/>
          <w:kern w:val="0"/>
          <w:sz w:val="20"/>
          <w:szCs w:val="20"/>
        </w:rPr>
      </w:pPr>
      <w:r>
        <w:rPr>
          <w:rFonts w:hint="eastAsia" w:ascii="Calibri" w:hAnsi="Calibri" w:cs="Arial"/>
          <w:kern w:val="0"/>
          <w:sz w:val="20"/>
          <w:szCs w:val="20"/>
        </w:rPr>
        <w:t>货币及单位：人民币/元</w:t>
      </w:r>
    </w:p>
    <w:tbl>
      <w:tblPr>
        <w:tblStyle w:val="31"/>
        <w:tblW w:w="0" w:type="auto"/>
        <w:tblInd w:w="0" w:type="dxa"/>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Layout w:type="autofit"/>
        <w:tblCellMar>
          <w:top w:w="0" w:type="dxa"/>
          <w:left w:w="108" w:type="dxa"/>
          <w:bottom w:w="0" w:type="dxa"/>
          <w:right w:w="108" w:type="dxa"/>
        </w:tblCellMar>
      </w:tblPr>
      <w:tblGrid>
        <w:gridCol w:w="831"/>
        <w:gridCol w:w="831"/>
        <w:gridCol w:w="831"/>
        <w:gridCol w:w="831"/>
        <w:gridCol w:w="831"/>
        <w:gridCol w:w="831"/>
        <w:gridCol w:w="831"/>
        <w:gridCol w:w="831"/>
        <w:gridCol w:w="831"/>
        <w:gridCol w:w="831"/>
      </w:tblGrid>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c>
          <w:tcPr>
            <w:tcW w:w="831" w:type="dxa"/>
          </w:tcPr>
          <w:p>
            <w:pPr>
              <w:pStyle w:val="75"/>
            </w:pPr>
            <w:r>
              <w:t xml:space="preserve"> 品目号</w:t>
            </w:r>
          </w:p>
        </w:tc>
        <w:tc>
          <w:tcPr>
            <w:tcW w:w="831" w:type="dxa"/>
          </w:tcPr>
          <w:p>
            <w:pPr>
              <w:pStyle w:val="75"/>
            </w:pPr>
            <w:r>
              <w:t xml:space="preserve"> 序号</w:t>
            </w:r>
          </w:p>
        </w:tc>
        <w:tc>
          <w:tcPr>
            <w:tcW w:w="831" w:type="dxa"/>
          </w:tcPr>
          <w:p>
            <w:pPr>
              <w:pStyle w:val="75"/>
            </w:pPr>
            <w:r>
              <w:t xml:space="preserve"> 服务名称</w:t>
            </w:r>
          </w:p>
        </w:tc>
        <w:tc>
          <w:tcPr>
            <w:tcW w:w="831" w:type="dxa"/>
          </w:tcPr>
          <w:p>
            <w:pPr>
              <w:pStyle w:val="75"/>
            </w:pPr>
            <w:r>
              <w:t xml:space="preserve"> 服务范围</w:t>
            </w:r>
          </w:p>
        </w:tc>
        <w:tc>
          <w:tcPr>
            <w:tcW w:w="831" w:type="dxa"/>
          </w:tcPr>
          <w:p>
            <w:pPr>
              <w:pStyle w:val="75"/>
            </w:pPr>
            <w:r>
              <w:t xml:space="preserve"> 服务要求</w:t>
            </w:r>
          </w:p>
        </w:tc>
        <w:tc>
          <w:tcPr>
            <w:tcW w:w="831" w:type="dxa"/>
          </w:tcPr>
          <w:p>
            <w:pPr>
              <w:pStyle w:val="75"/>
            </w:pPr>
            <w:r>
              <w:t xml:space="preserve"> 服务时间</w:t>
            </w:r>
          </w:p>
        </w:tc>
        <w:tc>
          <w:tcPr>
            <w:tcW w:w="831" w:type="dxa"/>
          </w:tcPr>
          <w:p>
            <w:pPr>
              <w:pStyle w:val="75"/>
            </w:pPr>
            <w:r>
              <w:t xml:space="preserve"> 服务标准</w:t>
            </w:r>
          </w:p>
        </w:tc>
        <w:tc>
          <w:tcPr>
            <w:tcW w:w="831" w:type="dxa"/>
          </w:tcPr>
          <w:p>
            <w:pPr>
              <w:pStyle w:val="75"/>
            </w:pPr>
            <w:r>
              <w:t xml:space="preserve"> 单价</w:t>
            </w:r>
          </w:p>
        </w:tc>
        <w:tc>
          <w:tcPr>
            <w:tcW w:w="831" w:type="dxa"/>
          </w:tcPr>
          <w:p>
            <w:pPr>
              <w:pStyle w:val="75"/>
            </w:pPr>
            <w:r>
              <w:t xml:space="preserve"> 数量</w:t>
            </w:r>
          </w:p>
        </w:tc>
        <w:tc>
          <w:tcPr>
            <w:tcW w:w="831" w:type="dxa"/>
          </w:tcPr>
          <w:p>
            <w:pPr>
              <w:pStyle w:val="75"/>
            </w:pPr>
            <w:r>
              <w:t xml:space="preserve"> 总价</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c>
          <w:tcPr>
            <w:tcW w:w="831" w:type="dxa"/>
          </w:tcPr>
          <w:p>
            <w:pPr>
              <w:pStyle w:val="75"/>
            </w:pPr>
            <w:r>
              <w:t xml:space="preserve"> 1</w:t>
            </w:r>
          </w:p>
        </w:tc>
        <w:tc>
          <w:tcPr>
            <w:tcW w:w="831" w:type="dxa"/>
          </w:tcPr>
          <w:p/>
        </w:tc>
        <w:tc>
          <w:tcPr>
            <w:tcW w:w="831" w:type="dxa"/>
          </w:tcPr>
          <w:p/>
        </w:tc>
        <w:tc>
          <w:tcPr>
            <w:tcW w:w="831" w:type="dxa"/>
          </w:tcPr>
          <w:p/>
        </w:tc>
        <w:tc>
          <w:tcPr>
            <w:tcW w:w="831" w:type="dxa"/>
          </w:tcPr>
          <w:p/>
        </w:tc>
        <w:tc>
          <w:tcPr>
            <w:tcW w:w="831" w:type="dxa"/>
          </w:tcPr>
          <w:p/>
        </w:tc>
        <w:tc>
          <w:tcPr>
            <w:tcW w:w="831" w:type="dxa"/>
          </w:tcPr>
          <w:p/>
        </w:tc>
        <w:tc>
          <w:tcPr>
            <w:tcW w:w="831" w:type="dxa"/>
          </w:tcPr>
          <w:p/>
        </w:tc>
        <w:tc>
          <w:tcPr>
            <w:tcW w:w="831" w:type="dxa"/>
          </w:tcPr>
          <w:p/>
        </w:tc>
        <w:tc>
          <w:tcPr>
            <w:tcW w:w="831" w:type="dxa"/>
          </w:tcPr>
          <w:p/>
        </w:tc>
      </w:tr>
    </w:tbl>
    <w:p>
      <w:pPr>
        <w:spacing w:line="500" w:lineRule="exact"/>
        <w:ind w:firstLine="404" w:firstLineChars="202"/>
        <w:jc w:val="left"/>
        <w:rPr>
          <w:rFonts w:ascii="Calibri" w:hAnsi="Calibri" w:cs="Arial"/>
          <w:kern w:val="0"/>
          <w:sz w:val="20"/>
          <w:szCs w:val="20"/>
        </w:rPr>
      </w:pPr>
    </w:p>
    <w:p>
      <w:pPr>
        <w:pStyle w:val="75"/>
      </w:pPr>
      <w:r>
        <w:t xml:space="preserve"> 投标人签章：__________________</w:t>
      </w:r>
    </w:p>
    <w:p>
      <w:pPr>
        <w:pStyle w:val="75"/>
      </w:pPr>
      <w:r>
        <w:t>日期： 年 月 日</w:t>
      </w:r>
    </w:p>
    <w:p>
      <w:pPr>
        <w:pStyle w:val="75"/>
        <w:ind w:firstLine="480"/>
      </w:pPr>
    </w:p>
    <w:p>
      <w:pPr>
        <w:pStyle w:val="75"/>
        <w:outlineLvl w:val="2"/>
      </w:pPr>
      <w:r>
        <w:rPr>
          <w:b/>
          <w:sz w:val="28"/>
        </w:rPr>
        <w:t>格式四：</w:t>
      </w:r>
    </w:p>
    <w:p>
      <w:pPr>
        <w:pStyle w:val="75"/>
        <w:jc w:val="center"/>
        <w:outlineLvl w:val="3"/>
      </w:pPr>
      <w:r>
        <w:rPr>
          <w:b/>
          <w:sz w:val="24"/>
        </w:rPr>
        <w:t>实质性响应一览表</w:t>
      </w:r>
    </w:p>
    <w:tbl>
      <w:tblPr>
        <w:tblStyle w:val="31"/>
        <w:tblW w:w="0" w:type="auto"/>
        <w:tblInd w:w="0" w:type="dxa"/>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Layout w:type="autofit"/>
        <w:tblCellMar>
          <w:top w:w="0" w:type="dxa"/>
          <w:left w:w="108" w:type="dxa"/>
          <w:bottom w:w="0" w:type="dxa"/>
          <w:right w:w="108" w:type="dxa"/>
        </w:tblCellMar>
      </w:tblPr>
      <w:tblGrid>
        <w:gridCol w:w="2076"/>
        <w:gridCol w:w="2076"/>
        <w:gridCol w:w="2076"/>
        <w:gridCol w:w="2076"/>
      </w:tblGrid>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c>
          <w:tcPr>
            <w:tcW w:w="2076" w:type="dxa"/>
          </w:tcPr>
          <w:p>
            <w:pPr>
              <w:pStyle w:val="75"/>
            </w:pPr>
            <w:r>
              <w:t>序号</w:t>
            </w:r>
          </w:p>
        </w:tc>
        <w:tc>
          <w:tcPr>
            <w:tcW w:w="2076" w:type="dxa"/>
          </w:tcPr>
          <w:p>
            <w:pPr>
              <w:pStyle w:val="75"/>
            </w:pPr>
            <w:r>
              <w:t>实质性响应条款</w:t>
            </w:r>
          </w:p>
        </w:tc>
        <w:tc>
          <w:tcPr>
            <w:tcW w:w="2076" w:type="dxa"/>
          </w:tcPr>
          <w:p>
            <w:pPr>
              <w:pStyle w:val="75"/>
            </w:pPr>
            <w:r>
              <w:t>投标人响应情况</w:t>
            </w:r>
          </w:p>
        </w:tc>
        <w:tc>
          <w:tcPr>
            <w:tcW w:w="2076" w:type="dxa"/>
          </w:tcPr>
          <w:p>
            <w:pPr>
              <w:pStyle w:val="75"/>
            </w:pPr>
            <w:r>
              <w:t>差异</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c>
          <w:tcPr>
            <w:tcW w:w="2076" w:type="dxa"/>
          </w:tcPr>
          <w:p>
            <w:pPr>
              <w:pStyle w:val="75"/>
            </w:pPr>
            <w:r>
              <w:t>1</w:t>
            </w:r>
          </w:p>
        </w:tc>
        <w:tc>
          <w:tcPr>
            <w:tcW w:w="2076" w:type="dxa"/>
            <w:tcBorders>
              <w:top w:val="single" w:color="auto" w:sz="2" w:space="0"/>
              <w:left w:val="single" w:color="auto" w:sz="2" w:space="0"/>
              <w:right w:val="single" w:color="auto" w:sz="2" w:space="0"/>
            </w:tcBorders>
          </w:tcPr>
          <w:p/>
        </w:tc>
        <w:tc>
          <w:tcPr>
            <w:tcW w:w="2076" w:type="dxa"/>
            <w:tcBorders>
              <w:top w:val="single" w:color="auto" w:sz="2" w:space="0"/>
              <w:left w:val="single" w:color="auto" w:sz="2" w:space="0"/>
              <w:right w:val="single" w:color="auto" w:sz="2" w:space="0"/>
            </w:tcBorders>
          </w:tcPr>
          <w:p/>
        </w:tc>
        <w:tc>
          <w:tcPr>
            <w:tcW w:w="2076" w:type="dxa"/>
          </w:tcP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c>
          <w:tcPr>
            <w:tcW w:w="2076" w:type="dxa"/>
          </w:tcPr>
          <w:p>
            <w:pPr>
              <w:pStyle w:val="75"/>
            </w:pPr>
            <w:r>
              <w:t xml:space="preserve"> 2</w:t>
            </w:r>
          </w:p>
        </w:tc>
        <w:tc>
          <w:tcPr>
            <w:tcW w:w="2076" w:type="dxa"/>
            <w:tcBorders>
              <w:top w:val="single" w:color="auto" w:sz="2" w:space="0"/>
              <w:left w:val="single" w:color="auto" w:sz="2" w:space="0"/>
              <w:right w:val="single" w:color="auto" w:sz="2" w:space="0"/>
            </w:tcBorders>
          </w:tcPr>
          <w:p/>
        </w:tc>
        <w:tc>
          <w:tcPr>
            <w:tcW w:w="2076" w:type="dxa"/>
            <w:tcBorders>
              <w:top w:val="single" w:color="auto" w:sz="2" w:space="0"/>
              <w:left w:val="single" w:color="auto" w:sz="2" w:space="0"/>
              <w:right w:val="single" w:color="auto" w:sz="2" w:space="0"/>
            </w:tcBorders>
          </w:tcPr>
          <w:p/>
        </w:tc>
        <w:tc>
          <w:tcPr>
            <w:tcW w:w="2076" w:type="dxa"/>
          </w:tcP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c>
          <w:tcPr>
            <w:tcW w:w="2076" w:type="dxa"/>
          </w:tcPr>
          <w:p>
            <w:pPr>
              <w:pStyle w:val="75"/>
            </w:pPr>
            <w:r>
              <w:t xml:space="preserve"> 3</w:t>
            </w:r>
          </w:p>
        </w:tc>
        <w:tc>
          <w:tcPr>
            <w:tcW w:w="2076" w:type="dxa"/>
            <w:tcBorders>
              <w:top w:val="single" w:color="auto" w:sz="2" w:space="0"/>
              <w:left w:val="single" w:color="auto" w:sz="2" w:space="0"/>
              <w:right w:val="single" w:color="auto" w:sz="2" w:space="0"/>
            </w:tcBorders>
          </w:tcPr>
          <w:p/>
        </w:tc>
        <w:tc>
          <w:tcPr>
            <w:tcW w:w="2076" w:type="dxa"/>
            <w:tcBorders>
              <w:top w:val="single" w:color="auto" w:sz="2" w:space="0"/>
              <w:left w:val="single" w:color="auto" w:sz="2" w:space="0"/>
              <w:right w:val="single" w:color="auto" w:sz="2" w:space="0"/>
            </w:tcBorders>
          </w:tcPr>
          <w:p/>
        </w:tc>
        <w:tc>
          <w:tcPr>
            <w:tcW w:w="2076" w:type="dxa"/>
          </w:tcP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c>
          <w:tcPr>
            <w:tcW w:w="2076" w:type="dxa"/>
          </w:tcPr>
          <w:p>
            <w:pPr>
              <w:pStyle w:val="75"/>
            </w:pPr>
            <w:r>
              <w:t xml:space="preserve"> 4</w:t>
            </w:r>
          </w:p>
        </w:tc>
        <w:tc>
          <w:tcPr>
            <w:tcW w:w="2076" w:type="dxa"/>
            <w:tcBorders>
              <w:top w:val="single" w:color="auto" w:sz="2" w:space="0"/>
              <w:left w:val="single" w:color="auto" w:sz="2" w:space="0"/>
              <w:right w:val="single" w:color="auto" w:sz="2" w:space="0"/>
            </w:tcBorders>
          </w:tcPr>
          <w:p/>
        </w:tc>
        <w:tc>
          <w:tcPr>
            <w:tcW w:w="2076" w:type="dxa"/>
            <w:tcBorders>
              <w:top w:val="single" w:color="auto" w:sz="2" w:space="0"/>
              <w:left w:val="single" w:color="auto" w:sz="2" w:space="0"/>
              <w:right w:val="single" w:color="auto" w:sz="2" w:space="0"/>
            </w:tcBorders>
          </w:tcPr>
          <w:p/>
        </w:tc>
        <w:tc>
          <w:tcPr>
            <w:tcW w:w="2076" w:type="dxa"/>
          </w:tcP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c>
          <w:tcPr>
            <w:tcW w:w="2076" w:type="dxa"/>
          </w:tcPr>
          <w:p>
            <w:pPr>
              <w:pStyle w:val="75"/>
            </w:pPr>
            <w:r>
              <w:t xml:space="preserve"> …</w:t>
            </w:r>
          </w:p>
        </w:tc>
        <w:tc>
          <w:tcPr>
            <w:tcW w:w="2076" w:type="dxa"/>
            <w:tcBorders>
              <w:top w:val="single" w:color="auto" w:sz="2" w:space="0"/>
              <w:left w:val="single" w:color="auto" w:sz="2" w:space="0"/>
              <w:right w:val="single" w:color="auto" w:sz="2" w:space="0"/>
            </w:tcBorders>
          </w:tcPr>
          <w:p/>
        </w:tc>
        <w:tc>
          <w:tcPr>
            <w:tcW w:w="2076" w:type="dxa"/>
            <w:tcBorders>
              <w:top w:val="single" w:color="auto" w:sz="2" w:space="0"/>
              <w:left w:val="single" w:color="auto" w:sz="2" w:space="0"/>
              <w:right w:val="single" w:color="auto" w:sz="2" w:space="0"/>
            </w:tcBorders>
          </w:tcPr>
          <w:p/>
        </w:tc>
        <w:tc>
          <w:tcPr>
            <w:tcW w:w="2076" w:type="dxa"/>
          </w:tcP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c>
          <w:tcPr>
            <w:tcW w:w="2076" w:type="dxa"/>
          </w:tcPr>
          <w:p>
            <w:pPr>
              <w:pStyle w:val="75"/>
            </w:pPr>
            <w:r>
              <w:t xml:space="preserve"> …</w:t>
            </w:r>
          </w:p>
        </w:tc>
        <w:tc>
          <w:tcPr>
            <w:tcW w:w="2076" w:type="dxa"/>
            <w:tcBorders>
              <w:top w:val="single" w:color="auto" w:sz="2" w:space="0"/>
              <w:left w:val="single" w:color="auto" w:sz="2" w:space="0"/>
              <w:right w:val="single" w:color="auto" w:sz="2" w:space="0"/>
            </w:tcBorders>
          </w:tcPr>
          <w:p/>
        </w:tc>
        <w:tc>
          <w:tcPr>
            <w:tcW w:w="2076" w:type="dxa"/>
            <w:tcBorders>
              <w:top w:val="single" w:color="auto" w:sz="2" w:space="0"/>
              <w:left w:val="single" w:color="auto" w:sz="2" w:space="0"/>
              <w:right w:val="single" w:color="auto" w:sz="2" w:space="0"/>
            </w:tcBorders>
          </w:tcPr>
          <w:p/>
        </w:tc>
        <w:tc>
          <w:tcPr>
            <w:tcW w:w="2076" w:type="dxa"/>
          </w:tcPr>
          <w:p/>
        </w:tc>
      </w:tr>
    </w:tbl>
    <w:p>
      <w:pPr>
        <w:pStyle w:val="75"/>
        <w:ind w:firstLine="480"/>
      </w:pPr>
      <w:r>
        <w:t>说明：</w:t>
      </w:r>
    </w:p>
    <w:p>
      <w:pPr>
        <w:pStyle w:val="75"/>
        <w:ind w:firstLine="480"/>
      </w:pPr>
      <w:r>
        <w:t>1.实质性响应条款一览表后续内容请根据第二章采购需求★号条款详细列举</w:t>
      </w:r>
    </w:p>
    <w:p>
      <w:pPr>
        <w:pStyle w:val="75"/>
        <w:ind w:firstLine="480"/>
      </w:pPr>
      <w:r>
        <w:t xml:space="preserve"> 2.本表所列条款必须一一予以响应，“投标人响应情况”一栏应填写具体的响应内容，有差异的要具体说明。</w:t>
      </w:r>
    </w:p>
    <w:p>
      <w:pPr>
        <w:pStyle w:val="75"/>
        <w:ind w:firstLine="480"/>
      </w:pPr>
      <w:r>
        <w:t>3.请投标人认真填写本表内容，如填写错误将可能导致投标无效。</w:t>
      </w:r>
    </w:p>
    <w:p>
      <w:pPr>
        <w:pStyle w:val="75"/>
        <w:ind w:firstLine="480"/>
      </w:pPr>
    </w:p>
    <w:p>
      <w:pPr>
        <w:pStyle w:val="75"/>
        <w:outlineLvl w:val="2"/>
      </w:pPr>
      <w:r>
        <w:rPr>
          <w:b/>
          <w:sz w:val="28"/>
        </w:rPr>
        <w:t>格式</w:t>
      </w:r>
      <w:r>
        <w:rPr>
          <w:rFonts w:hint="eastAsia"/>
          <w:b/>
          <w:sz w:val="28"/>
        </w:rPr>
        <w:t>五</w:t>
      </w:r>
      <w:r>
        <w:rPr>
          <w:b/>
          <w:sz w:val="28"/>
        </w:rPr>
        <w:t>：</w:t>
      </w:r>
    </w:p>
    <w:p>
      <w:pPr>
        <w:pStyle w:val="75"/>
        <w:ind w:firstLine="480"/>
      </w:pPr>
      <w:r>
        <w:t>（投标人可使用下述格式，也可使用广东省工商行政管理局统一印制的法定代表人证明书格式）</w:t>
      </w:r>
    </w:p>
    <w:p>
      <w:pPr>
        <w:pStyle w:val="75"/>
        <w:jc w:val="center"/>
        <w:outlineLvl w:val="3"/>
      </w:pPr>
      <w:r>
        <w:rPr>
          <w:b/>
          <w:sz w:val="24"/>
        </w:rPr>
        <w:t>法定代表人证明书</w:t>
      </w:r>
    </w:p>
    <w:p>
      <w:pPr>
        <w:pStyle w:val="75"/>
        <w:ind w:firstLine="480"/>
      </w:pPr>
      <w:r>
        <w:t>_____________现任我单位_____________职务，为法定代表人，特此证明。</w:t>
      </w:r>
    </w:p>
    <w:p>
      <w:pPr>
        <w:pStyle w:val="75"/>
        <w:ind w:firstLine="480"/>
      </w:pPr>
      <w:r>
        <w:t>有效期限：__________________</w:t>
      </w:r>
    </w:p>
    <w:p>
      <w:pPr>
        <w:pStyle w:val="75"/>
        <w:ind w:firstLine="480"/>
      </w:pPr>
      <w:r>
        <w:t>附：代表人性别：_____年龄：_________ 身份证号码：__________________</w:t>
      </w:r>
    </w:p>
    <w:p>
      <w:pPr>
        <w:pStyle w:val="75"/>
        <w:ind w:firstLine="480"/>
      </w:pPr>
      <w:r>
        <w:t>注册号码：____________________企业类型：____________________________</w:t>
      </w:r>
    </w:p>
    <w:p>
      <w:pPr>
        <w:pStyle w:val="75"/>
        <w:ind w:firstLine="480"/>
      </w:pPr>
      <w:r>
        <w:t>经营范围：__________________________</w:t>
      </w:r>
    </w:p>
    <w:p>
      <w:pPr>
        <w:pStyle w:val="75"/>
      </w:pPr>
      <w:r>
        <w:t xml:space="preserve"> 投标人名称（盖章）：__________________</w:t>
      </w:r>
    </w:p>
    <w:p>
      <w:pPr>
        <w:pStyle w:val="75"/>
      </w:pPr>
      <w:r>
        <w:t xml:space="preserve"> 地址：__________________</w:t>
      </w:r>
    </w:p>
    <w:p>
      <w:pPr>
        <w:pStyle w:val="75"/>
      </w:pPr>
      <w:r>
        <w:t xml:space="preserve"> 法定代表人（签字或盖章）：__________________</w:t>
      </w:r>
    </w:p>
    <w:p>
      <w:pPr>
        <w:pStyle w:val="75"/>
      </w:pPr>
      <w:r>
        <w:t xml:space="preserve"> 职务：__________________</w:t>
      </w:r>
    </w:p>
    <w:p>
      <w:pPr>
        <w:pStyle w:val="75"/>
      </w:pPr>
      <w:r>
        <w:t xml:space="preserve"> 日期： 年 月 日</w:t>
      </w:r>
    </w:p>
    <w:p>
      <w:pPr>
        <w:pStyle w:val="75"/>
        <w:ind w:firstLine="480"/>
      </w:pPr>
    </w:p>
    <w:p>
      <w:pPr>
        <w:pStyle w:val="75"/>
        <w:outlineLvl w:val="2"/>
      </w:pPr>
      <w:r>
        <w:rPr>
          <w:b/>
          <w:sz w:val="28"/>
        </w:rPr>
        <w:t>格式</w:t>
      </w:r>
      <w:r>
        <w:rPr>
          <w:rFonts w:hint="eastAsia"/>
          <w:b/>
          <w:sz w:val="28"/>
        </w:rPr>
        <w:t>六</w:t>
      </w:r>
      <w:r>
        <w:rPr>
          <w:b/>
          <w:sz w:val="28"/>
        </w:rPr>
        <w:t>：</w:t>
      </w:r>
    </w:p>
    <w:p>
      <w:pPr>
        <w:pStyle w:val="75"/>
        <w:jc w:val="center"/>
        <w:outlineLvl w:val="3"/>
      </w:pPr>
      <w:r>
        <w:rPr>
          <w:b/>
          <w:sz w:val="24"/>
        </w:rPr>
        <w:t>法定代表人授权书格式</w:t>
      </w:r>
    </w:p>
    <w:p>
      <w:pPr>
        <w:pStyle w:val="75"/>
        <w:ind w:firstLine="480"/>
      </w:pPr>
      <w:r>
        <w:t>（对于银行、保险、电信、邮政、铁路等行业以及获得总公司投标授权的分公司，可以提供投标分支机构负责人授权书）</w:t>
      </w:r>
    </w:p>
    <w:p>
      <w:pPr>
        <w:pStyle w:val="75"/>
        <w:jc w:val="center"/>
        <w:outlineLvl w:val="3"/>
      </w:pPr>
      <w:r>
        <w:rPr>
          <w:b/>
          <w:sz w:val="24"/>
        </w:rPr>
        <w:t>法定代表人授权书</w:t>
      </w:r>
    </w:p>
    <w:p>
      <w:pPr>
        <w:pStyle w:val="75"/>
        <w:ind w:firstLine="480"/>
      </w:pPr>
      <w:r>
        <w:t>致：广州市政府采购中心</w:t>
      </w:r>
    </w:p>
    <w:p>
      <w:pPr>
        <w:pStyle w:val="75"/>
        <w:ind w:firstLine="480"/>
      </w:pPr>
      <w:r>
        <w:t xml:space="preserve">本授权书声明：________是注册于 </w:t>
      </w:r>
      <w:r>
        <w:rPr>
          <w:u w:val="single"/>
        </w:rPr>
        <w:t>（国家或地区）</w:t>
      </w:r>
      <w:r>
        <w:t>的</w:t>
      </w:r>
      <w:r>
        <w:rPr>
          <w:u w:val="single"/>
        </w:rPr>
        <w:t>（投标人名称）</w:t>
      </w:r>
      <w:r>
        <w:t xml:space="preserve">的法定代表人，现任________职务，有效证件号码：________________。现授权 </w:t>
      </w:r>
      <w:r>
        <w:rPr>
          <w:u w:val="single"/>
        </w:rPr>
        <w:t>（姓名、职务）</w:t>
      </w:r>
      <w:r>
        <w:t xml:space="preserve"> 作为我公司的全权代理人，就“</w:t>
      </w:r>
      <w:r>
        <w:rPr>
          <w:rFonts w:hint="eastAsia"/>
        </w:rPr>
        <w:t>广州海关食堂食材配送服务</w:t>
      </w:r>
      <w:r>
        <w:t xml:space="preserve">”项目采购[采购项目编号为 </w:t>
      </w:r>
      <w:r>
        <w:rPr>
          <w:rFonts w:hint="eastAsia"/>
          <w:lang w:eastAsia="zh-CN"/>
        </w:rPr>
        <w:t>QCZ2026-0010</w:t>
      </w:r>
      <w:r>
        <w:t>]的投标和合同执行，以我方的名义处理一切与之有关的事宜。</w:t>
      </w:r>
    </w:p>
    <w:p>
      <w:pPr>
        <w:pStyle w:val="75"/>
        <w:ind w:firstLine="480"/>
      </w:pPr>
      <w:r>
        <w:t>本授权书于________年________月________日签字生效，特此声明。</w:t>
      </w:r>
    </w:p>
    <w:p>
      <w:pPr>
        <w:pStyle w:val="75"/>
      </w:pPr>
      <w:r>
        <w:t xml:space="preserve"> 投标人（盖章）：__________________</w:t>
      </w:r>
    </w:p>
    <w:p>
      <w:pPr>
        <w:pStyle w:val="75"/>
      </w:pPr>
      <w:r>
        <w:t xml:space="preserve"> 地址：__________________</w:t>
      </w:r>
    </w:p>
    <w:p>
      <w:pPr>
        <w:pStyle w:val="75"/>
      </w:pPr>
      <w:r>
        <w:t xml:space="preserve"> 法定代表人（签字或盖章）：__________________</w:t>
      </w:r>
    </w:p>
    <w:p>
      <w:pPr>
        <w:pStyle w:val="75"/>
      </w:pPr>
      <w:r>
        <w:t xml:space="preserve"> 职务：__________________</w:t>
      </w:r>
    </w:p>
    <w:p>
      <w:pPr>
        <w:pStyle w:val="75"/>
      </w:pPr>
      <w:r>
        <w:t xml:space="preserve"> 被授权人（签字或盖章）：__________________</w:t>
      </w:r>
    </w:p>
    <w:p>
      <w:pPr>
        <w:pStyle w:val="75"/>
      </w:pPr>
      <w:r>
        <w:t xml:space="preserve"> 职务：__________________</w:t>
      </w:r>
    </w:p>
    <w:p>
      <w:pPr>
        <w:pStyle w:val="75"/>
      </w:pPr>
      <w:r>
        <w:t xml:space="preserve"> 日期： 年 月 日</w:t>
      </w:r>
    </w:p>
    <w:p>
      <w:pPr>
        <w:pStyle w:val="75"/>
        <w:ind w:firstLine="480"/>
      </w:pPr>
    </w:p>
    <w:p>
      <w:pPr>
        <w:pStyle w:val="75"/>
        <w:outlineLvl w:val="2"/>
      </w:pPr>
      <w:r>
        <w:rPr>
          <w:b/>
          <w:sz w:val="28"/>
        </w:rPr>
        <w:t>格式</w:t>
      </w:r>
      <w:r>
        <w:rPr>
          <w:rFonts w:hint="eastAsia"/>
          <w:b/>
          <w:sz w:val="28"/>
        </w:rPr>
        <w:t>七</w:t>
      </w:r>
      <w:r>
        <w:rPr>
          <w:b/>
          <w:sz w:val="28"/>
        </w:rPr>
        <w:t>：</w:t>
      </w:r>
    </w:p>
    <w:p>
      <w:pPr>
        <w:pStyle w:val="75"/>
        <w:jc w:val="center"/>
        <w:outlineLvl w:val="3"/>
      </w:pPr>
      <w:r>
        <w:rPr>
          <w:b/>
          <w:sz w:val="24"/>
        </w:rPr>
        <w:t>提供具有独立承担民事责任的能力的证明材料</w:t>
      </w:r>
    </w:p>
    <w:p>
      <w:pPr>
        <w:pStyle w:val="75"/>
        <w:ind w:firstLine="480"/>
      </w:pPr>
      <w:r>
        <w:t>提供以下相关证照的扫描件之一：1.企业法人提供企业法人营业执照；2.事业法人提供事业法人登记证；3.其他组织提供其他组织的营业执照或执业许可证；4.自然人提供居民身份证等；</w:t>
      </w:r>
    </w:p>
    <w:p>
      <w:pPr>
        <w:pStyle w:val="75"/>
        <w:ind w:firstLine="480"/>
      </w:pPr>
    </w:p>
    <w:p>
      <w:pPr>
        <w:pStyle w:val="75"/>
        <w:outlineLvl w:val="2"/>
      </w:pPr>
      <w:r>
        <w:rPr>
          <w:b/>
          <w:sz w:val="28"/>
        </w:rPr>
        <w:t>格式</w:t>
      </w:r>
      <w:r>
        <w:rPr>
          <w:rFonts w:hint="eastAsia"/>
          <w:b/>
          <w:sz w:val="28"/>
        </w:rPr>
        <w:t>八</w:t>
      </w:r>
      <w:r>
        <w:rPr>
          <w:b/>
          <w:sz w:val="28"/>
        </w:rPr>
        <w:t>：</w:t>
      </w:r>
    </w:p>
    <w:p>
      <w:pPr>
        <w:pStyle w:val="75"/>
        <w:ind w:firstLine="480"/>
      </w:pPr>
      <w:r>
        <w:t>（对于采购需求写明“提供承诺”的条款，供应商可参照以下格式提供承诺）</w:t>
      </w:r>
    </w:p>
    <w:p>
      <w:pPr>
        <w:pStyle w:val="75"/>
        <w:jc w:val="center"/>
        <w:outlineLvl w:val="3"/>
      </w:pPr>
      <w:r>
        <w:rPr>
          <w:b/>
          <w:sz w:val="24"/>
        </w:rPr>
        <w:t>承诺函</w:t>
      </w:r>
    </w:p>
    <w:p>
      <w:pPr>
        <w:pStyle w:val="75"/>
        <w:ind w:firstLine="480"/>
      </w:pPr>
      <w:r>
        <w:t>致：</w:t>
      </w:r>
      <w:r>
        <w:rPr>
          <w:rFonts w:hint="eastAsia"/>
        </w:rPr>
        <w:t>广州海关后勤管理中心</w:t>
      </w:r>
      <w:r>
        <w:br w:type="textWrapping"/>
      </w:r>
    </w:p>
    <w:p>
      <w:pPr>
        <w:pStyle w:val="75"/>
        <w:ind w:firstLine="480"/>
      </w:pPr>
      <w:r>
        <w:t>对于__________________项目（项目编号：__________________），我方郑重承诺如下：</w:t>
      </w:r>
    </w:p>
    <w:p>
      <w:pPr>
        <w:pStyle w:val="75"/>
        <w:ind w:firstLine="480"/>
      </w:pPr>
      <w:r>
        <w:t>如中标/成交，我方承诺严格落实采购文件以下条款：(建议逐条复制采购文件相关条款原文)</w:t>
      </w:r>
    </w:p>
    <w:p>
      <w:pPr>
        <w:pStyle w:val="75"/>
        <w:ind w:firstLine="480"/>
      </w:pPr>
      <w:r>
        <w:t>（一）星号条款</w:t>
      </w:r>
    </w:p>
    <w:p>
      <w:pPr>
        <w:pStyle w:val="75"/>
        <w:ind w:firstLine="480"/>
      </w:pPr>
      <w:r>
        <w:t>1.</w:t>
      </w:r>
    </w:p>
    <w:p>
      <w:pPr>
        <w:pStyle w:val="75"/>
        <w:ind w:firstLine="480"/>
      </w:pPr>
      <w:r>
        <w:t>2.</w:t>
      </w:r>
    </w:p>
    <w:p>
      <w:pPr>
        <w:pStyle w:val="75"/>
        <w:ind w:firstLine="480"/>
      </w:pPr>
      <w:r>
        <w:t>3.</w:t>
      </w:r>
    </w:p>
    <w:p>
      <w:pPr>
        <w:pStyle w:val="75"/>
        <w:ind w:firstLine="480"/>
      </w:pPr>
      <w:r>
        <w:t>.........</w:t>
      </w:r>
    </w:p>
    <w:p>
      <w:pPr>
        <w:pStyle w:val="75"/>
        <w:ind w:firstLine="480"/>
      </w:pPr>
      <w:r>
        <w:t>（二）三角号条款</w:t>
      </w:r>
    </w:p>
    <w:p>
      <w:pPr>
        <w:pStyle w:val="75"/>
        <w:ind w:firstLine="480"/>
      </w:pPr>
      <w:r>
        <w:t>1.</w:t>
      </w:r>
    </w:p>
    <w:p>
      <w:pPr>
        <w:pStyle w:val="75"/>
        <w:ind w:firstLine="480"/>
      </w:pPr>
      <w:r>
        <w:t>2.</w:t>
      </w:r>
    </w:p>
    <w:p>
      <w:pPr>
        <w:pStyle w:val="75"/>
        <w:ind w:firstLine="480"/>
      </w:pPr>
      <w:r>
        <w:t>3.</w:t>
      </w:r>
    </w:p>
    <w:p>
      <w:pPr>
        <w:pStyle w:val="75"/>
        <w:ind w:firstLine="480"/>
      </w:pPr>
      <w:r>
        <w:t>.........</w:t>
      </w:r>
    </w:p>
    <w:p>
      <w:pPr>
        <w:pStyle w:val="75"/>
        <w:ind w:firstLine="480"/>
      </w:pPr>
      <w:r>
        <w:t>（三）非星号、非三角号条款</w:t>
      </w:r>
    </w:p>
    <w:p>
      <w:pPr>
        <w:pStyle w:val="75"/>
        <w:ind w:firstLine="480"/>
      </w:pPr>
      <w:r>
        <w:t>1.</w:t>
      </w:r>
    </w:p>
    <w:p>
      <w:pPr>
        <w:pStyle w:val="75"/>
        <w:ind w:firstLine="480"/>
      </w:pPr>
      <w:r>
        <w:t>2.</w:t>
      </w:r>
    </w:p>
    <w:p>
      <w:pPr>
        <w:pStyle w:val="75"/>
        <w:ind w:firstLine="480"/>
      </w:pPr>
      <w:r>
        <w:t>3.</w:t>
      </w:r>
    </w:p>
    <w:p>
      <w:pPr>
        <w:pStyle w:val="75"/>
        <w:ind w:firstLine="480"/>
      </w:pPr>
      <w:r>
        <w:t>.........</w:t>
      </w:r>
      <w:r>
        <w:br w:type="textWrapping"/>
      </w:r>
    </w:p>
    <w:p>
      <w:pPr>
        <w:pStyle w:val="75"/>
        <w:ind w:firstLine="480"/>
      </w:pPr>
      <w:r>
        <w:t>特此承诺。</w:t>
      </w:r>
    </w:p>
    <w:p>
      <w:pPr>
        <w:pStyle w:val="75"/>
      </w:pPr>
      <w:r>
        <w:t xml:space="preserve"> 供应商名称（盖章）：__________________</w:t>
      </w:r>
    </w:p>
    <w:p>
      <w:pPr>
        <w:pStyle w:val="75"/>
      </w:pPr>
      <w:r>
        <w:t xml:space="preserve"> 日期： 年 月 日</w:t>
      </w:r>
    </w:p>
    <w:p>
      <w:pPr>
        <w:pStyle w:val="75"/>
        <w:ind w:firstLine="480"/>
      </w:pPr>
    </w:p>
    <w:p>
      <w:pPr>
        <w:pStyle w:val="75"/>
        <w:outlineLvl w:val="2"/>
      </w:pPr>
      <w:r>
        <w:rPr>
          <w:b/>
          <w:sz w:val="28"/>
        </w:rPr>
        <w:t>格式</w:t>
      </w:r>
      <w:r>
        <w:rPr>
          <w:rFonts w:hint="eastAsia"/>
          <w:b/>
          <w:sz w:val="28"/>
        </w:rPr>
        <w:t>九</w:t>
      </w:r>
      <w:r>
        <w:rPr>
          <w:b/>
          <w:sz w:val="28"/>
        </w:rPr>
        <w:t>：</w:t>
      </w:r>
    </w:p>
    <w:p>
      <w:pPr>
        <w:pStyle w:val="75"/>
        <w:ind w:firstLine="480"/>
      </w:pPr>
      <w:r>
        <w:t>（以下格式文件由供应商根据需要选用）</w:t>
      </w:r>
    </w:p>
    <w:p>
      <w:pPr>
        <w:pStyle w:val="75"/>
        <w:ind w:firstLine="480"/>
      </w:pPr>
      <w:r>
        <w:rPr>
          <w:b/>
        </w:rPr>
        <w:t>温馨提示：</w:t>
      </w:r>
    </w:p>
    <w:p>
      <w:pPr>
        <w:pStyle w:val="75"/>
        <w:ind w:firstLine="480"/>
      </w:pPr>
      <w:r>
        <w:t>根据工业和信息化部、国家统计局、国家发展和改革委员会、财政部《关于印发中小企业划型标准规定的通知》的精神，投标人需根据以下要求对其出具的《中小企业声明函》的信息进行完善和规范。</w:t>
      </w:r>
    </w:p>
    <w:p>
      <w:pPr>
        <w:pStyle w:val="75"/>
        <w:ind w:firstLine="480"/>
      </w:pPr>
      <w:r>
        <w:t>（一）对于已纳入统计部门统计范围的企业，所属行业、从业人员、营业收入、资产总额、规模类型应与统计部门报表保持一致。</w:t>
      </w:r>
    </w:p>
    <w:p>
      <w:pPr>
        <w:pStyle w:val="75"/>
        <w:ind w:firstLine="480"/>
      </w:pPr>
      <w:r>
        <w:t>（二）对于未纳入统计部门统计范围的企业，应对照《国民经济行业分类》确定所属行业，当企业从事两种以上的经济活动时，则按照主要活动确定其所属行业；从业人数可以社会保险参保人数为准；营业收入、资产总额可以第三方出具的报告为准。</w:t>
      </w:r>
    </w:p>
    <w:p>
      <w:pPr>
        <w:pStyle w:val="75"/>
        <w:ind w:firstLine="480"/>
      </w:pPr>
      <w:r>
        <w:t>（三）对于采购文件确实允许非独立法人参与采购活动的，应按其所属集团公司合并财务报表数据情况予以填报。以联合体形式参加或者合同分包的，需填写联合体中的中小企业或签订分包意向协议的中小企业相关信息。</w:t>
      </w:r>
    </w:p>
    <w:p>
      <w:pPr>
        <w:pStyle w:val="75"/>
        <w:ind w:firstLine="480"/>
      </w:pPr>
      <w:r>
        <w:t>（四）《中小企业声明函》真实性由其出具的供应商负责。《中小企业声明函》中相关企业[制造商、承建（承接）企业]所属行业应当与采购标的的所属行业相一致。如为货物采购项目，《中小企业声明函》应当充分、准确反映货物制造商的信息。</w:t>
      </w:r>
    </w:p>
    <w:p>
      <w:pPr>
        <w:pStyle w:val="75"/>
        <w:ind w:firstLine="480"/>
      </w:pPr>
      <w:r>
        <w:t>（五）对于专门面向中小企业预留份额的采购项目或者采购包，《中小企业声明函》由采购人、采购代理机构在资格审查阶段审查；对于不专门面向中小企业采购的采购项目或者采购包，以及接受大中型企业与小微企业组成联合体或者允许大中型企业向一家或者多家小微企业分包的采购项目，《中小企业声明函》由评审委员会在评审过程中审查。</w:t>
      </w:r>
    </w:p>
    <w:p>
      <w:pPr>
        <w:pStyle w:val="75"/>
        <w:ind w:firstLine="480"/>
      </w:pPr>
      <w:r>
        <w:t>（六）经调查发现供应商提供《中小企业声明函》内容与实际不符的，政府采购监管部门有权根据《中小企业声明函》与实际情况的差异视情形认定其是否属于虚假材料谋取中标。</w:t>
      </w:r>
    </w:p>
    <w:p>
      <w:pPr>
        <w:pStyle w:val="75"/>
        <w:ind w:firstLine="480"/>
      </w:pPr>
      <w:r>
        <w:t>（七）根据《财政部关于规范政府采购行政处罚有关问题的通知》（财库〔2015〕150 号）规定，各级人民政府财政部门依法对供应商作出的禁止参加政府采购活动的行政处罚决定在全国范围内生效。</w:t>
      </w:r>
    </w:p>
    <w:p>
      <w:pPr>
        <w:pStyle w:val="75"/>
        <w:ind w:firstLine="480"/>
      </w:pPr>
      <w:r>
        <w:t>为落实对政府采购违法失信行为惩戒，供应商存在任一级人民政府财政部门作出“禁止参加政府采购活动”行政处罚决定且处罚期限未届满的，即使尚未在“中国政府采购网”开设的“政府采购严重违法失信行为处罚记录”和“信用中国”网站显示，也应禁止参加政府采购活动，采购人及采购代理机构应当审慎甄别供应商参与政府采购活动资格。</w:t>
      </w:r>
    </w:p>
    <w:p>
      <w:pPr>
        <w:pStyle w:val="75"/>
        <w:ind w:firstLine="480"/>
      </w:pPr>
      <w:r>
        <w:t>（八）采购人、采购代理机构、评标委员会（评审小组）在依法进行资格审查时，应当甄别供应商是否存在“禁止参加政府采购”行政处罚决定记录，依法依规审查供应商投标资格。在资格审查、符合性审查等评审过程中，应严格依照规定审查《中小企业声明函》等文件，确保符合相关政策规定。采购人、采购代理机构、评标委员会（评审小组）审查不到位的，监管部门将依法责令改正；拒不改正的，本机关将按照《中华人民共和国政府采购法》相关规定进行处理。</w:t>
      </w:r>
    </w:p>
    <w:p>
      <w:pPr>
        <w:pStyle w:val="75"/>
        <w:ind w:firstLine="480"/>
      </w:pPr>
      <w:r>
        <w:t>（九）供应商提供承诺函、第三方书面声明、检测报告、资质证件、业绩成果等材料作为投标文件组成部分的，供应商应保证资料内容书写正确、真实有效、完整一致。如相关第三方书面声明、相关检测报告等资料虚假，监管部门有权根据调查情形认定其是否属于提供虚假材料谋取中标，并严肃处理。</w:t>
      </w:r>
    </w:p>
    <w:p>
      <w:pPr>
        <w:pStyle w:val="75"/>
      </w:pPr>
    </w:p>
    <w:p>
      <w:pPr>
        <w:pStyle w:val="75"/>
        <w:ind w:firstLine="480"/>
      </w:pPr>
      <w:r>
        <w:t>中小企业声明函（承建本项目工程为中小企业或者承接本项目服务为中小企业时提交本函，所属行业应符合采购文件中明确的本项目所属行业）</w:t>
      </w:r>
    </w:p>
    <w:p>
      <w:pPr>
        <w:pStyle w:val="75"/>
        <w:jc w:val="center"/>
        <w:outlineLvl w:val="3"/>
      </w:pPr>
      <w:r>
        <w:rPr>
          <w:b/>
          <w:sz w:val="24"/>
        </w:rPr>
        <w:t>中小企业声明函（工程、服务）</w:t>
      </w:r>
    </w:p>
    <w:p>
      <w:pPr>
        <w:pStyle w:val="75"/>
        <w:ind w:firstLine="480"/>
      </w:pPr>
      <w:r>
        <w:t>本公司（联合体）郑重声明，根据《政府采购促进中小企业发展管理办法》（财库﹝2020﹞46 号）的规定，本公司（联合体）参加</w:t>
      </w:r>
      <w:r>
        <w:rPr>
          <w:u w:val="single"/>
        </w:rPr>
        <w:t>（单位名称）</w:t>
      </w:r>
      <w:r>
        <w:t>的</w:t>
      </w:r>
      <w:r>
        <w:rPr>
          <w:u w:val="single"/>
        </w:rPr>
        <w:t>（项目名称）</w:t>
      </w:r>
      <w:r>
        <w:t>采购活动，工程的施工单位全部为符合政策要求的中小企业（或者：服务全部由符合政策要求的中小企业承接）。相关企业（含联合体中的中小企业、签订分包意向协议的中小企业）的具体情况如下：</w:t>
      </w:r>
    </w:p>
    <w:p>
      <w:pPr>
        <w:pStyle w:val="75"/>
        <w:ind w:firstLine="480"/>
      </w:pPr>
      <w:r>
        <w:t xml:space="preserve"> 1.</w:t>
      </w:r>
      <w:r>
        <w:rPr>
          <w:u w:val="single"/>
        </w:rPr>
        <w:t>（标的名称）</w:t>
      </w:r>
      <w:r>
        <w:t>，属于</w:t>
      </w:r>
      <w:r>
        <w:rPr>
          <w:u w:val="single"/>
        </w:rPr>
        <w:t>（采购文件中明确的所属行业）</w:t>
      </w:r>
      <w:r>
        <w:t>行业；承建（承接）企业为</w:t>
      </w:r>
      <w:r>
        <w:rPr>
          <w:u w:val="single"/>
        </w:rPr>
        <w:t>（企业名称）</w:t>
      </w:r>
      <w:r>
        <w:t>，从业人员__________________人，营业收入为__________________万元，资产总额为__________________万元</w:t>
      </w:r>
      <w:r>
        <w:rPr>
          <w:sz w:val="7"/>
        </w:rPr>
        <w:t>1</w:t>
      </w:r>
      <w:r>
        <w:t>，属于</w:t>
      </w:r>
      <w:r>
        <w:rPr>
          <w:u w:val="single"/>
        </w:rPr>
        <w:t>（中型企业、小型企业、微型企业）</w:t>
      </w:r>
      <w:r>
        <w:t>；</w:t>
      </w:r>
    </w:p>
    <w:p>
      <w:pPr>
        <w:pStyle w:val="75"/>
        <w:ind w:firstLine="480"/>
      </w:pPr>
      <w:r>
        <w:t xml:space="preserve"> 2.</w:t>
      </w:r>
      <w:r>
        <w:rPr>
          <w:u w:val="single"/>
        </w:rPr>
        <w:t>（标的名称）</w:t>
      </w:r>
      <w:r>
        <w:t>，属于</w:t>
      </w:r>
      <w:r>
        <w:rPr>
          <w:u w:val="single"/>
        </w:rPr>
        <w:t>（采购文件中明确的所属行业）</w:t>
      </w:r>
      <w:r>
        <w:t>行业；承建（承接）企业为</w:t>
      </w:r>
      <w:r>
        <w:rPr>
          <w:u w:val="single"/>
        </w:rPr>
        <w:t>（企业名称）</w:t>
      </w:r>
      <w:r>
        <w:t>，从业人员__________________人，营业收入为__________________万元，资产总额为__________________万元</w:t>
      </w:r>
      <w:r>
        <w:rPr>
          <w:sz w:val="7"/>
        </w:rPr>
        <w:t>1</w:t>
      </w:r>
      <w:r>
        <w:t>，属于</w:t>
      </w:r>
      <w:r>
        <w:rPr>
          <w:u w:val="single"/>
        </w:rPr>
        <w:t>（中型企业、小型企业、微型企业）</w:t>
      </w:r>
      <w:r>
        <w:t>；</w:t>
      </w:r>
    </w:p>
    <w:p>
      <w:pPr>
        <w:pStyle w:val="75"/>
        <w:ind w:firstLine="480"/>
      </w:pPr>
      <w:r>
        <w:t>……</w:t>
      </w:r>
    </w:p>
    <w:p>
      <w:pPr>
        <w:pStyle w:val="75"/>
        <w:ind w:firstLine="480"/>
      </w:pPr>
      <w:r>
        <w:t>以上企业，不属于大企业的分支机构，不存在控股股东为大企业的情形，也不存在与大企业的负责人为同一人的情形。</w:t>
      </w:r>
    </w:p>
    <w:p>
      <w:pPr>
        <w:pStyle w:val="75"/>
        <w:ind w:firstLine="480"/>
      </w:pPr>
      <w:r>
        <w:t>本企业对上述声明内容的真实性负责。如有虚假，将依法承担相应责任。</w:t>
      </w:r>
    </w:p>
    <w:p>
      <w:pPr>
        <w:pStyle w:val="75"/>
      </w:pPr>
      <w:r>
        <w:t xml:space="preserve"> 企业名称（盖章）：__________________</w:t>
      </w:r>
    </w:p>
    <w:p>
      <w:pPr>
        <w:pStyle w:val="75"/>
      </w:pPr>
      <w:r>
        <w:t xml:space="preserve"> 日期： 年 月 日</w:t>
      </w:r>
    </w:p>
    <w:p>
      <w:pPr>
        <w:pStyle w:val="75"/>
        <w:ind w:firstLine="480"/>
      </w:pPr>
      <w:r>
        <w:t>1：从业人员、营业收入、资产总额填报上一年度数据，无上一年度数据的新成立企业可不填报。</w:t>
      </w:r>
    </w:p>
    <w:p>
      <w:pPr>
        <w:pStyle w:val="75"/>
        <w:ind w:firstLine="480"/>
      </w:pPr>
      <w:r>
        <w:t>2：投标人应当自行核实是否属于小微企业，并认真填写声明函，若有虚假将追究其责任。</w:t>
      </w:r>
    </w:p>
    <w:p>
      <w:pPr>
        <w:pStyle w:val="75"/>
        <w:ind w:firstLine="480"/>
      </w:pPr>
    </w:p>
    <w:p>
      <w:pPr>
        <w:pStyle w:val="75"/>
        <w:ind w:firstLine="480"/>
      </w:pPr>
    </w:p>
    <w:p>
      <w:pPr>
        <w:pStyle w:val="75"/>
        <w:outlineLvl w:val="2"/>
      </w:pPr>
      <w:r>
        <w:rPr>
          <w:b/>
          <w:sz w:val="28"/>
        </w:rPr>
        <w:t>格式十：</w:t>
      </w:r>
    </w:p>
    <w:p>
      <w:pPr>
        <w:pStyle w:val="75"/>
        <w:ind w:firstLine="480"/>
      </w:pPr>
      <w:r>
        <w:t>（以下格式文件由供应商根据需要选用）</w:t>
      </w:r>
    </w:p>
    <w:p>
      <w:pPr>
        <w:pStyle w:val="75"/>
        <w:jc w:val="center"/>
        <w:outlineLvl w:val="3"/>
      </w:pPr>
      <w:r>
        <w:rPr>
          <w:b/>
          <w:sz w:val="24"/>
        </w:rPr>
        <w:t>监狱企业</w:t>
      </w:r>
    </w:p>
    <w:p>
      <w:pPr>
        <w:pStyle w:val="75"/>
        <w:ind w:firstLine="480"/>
      </w:pPr>
      <w:r>
        <w:t>提供由监狱管理局、戒毒管理局（含新疆生产建设兵团）出具的属于监狱企业的证明文件。</w:t>
      </w:r>
    </w:p>
    <w:p>
      <w:pPr>
        <w:pStyle w:val="75"/>
        <w:ind w:firstLine="480"/>
      </w:pPr>
    </w:p>
    <w:p>
      <w:pPr>
        <w:pStyle w:val="75"/>
        <w:outlineLvl w:val="2"/>
      </w:pPr>
      <w:r>
        <w:rPr>
          <w:b/>
          <w:sz w:val="28"/>
        </w:rPr>
        <w:t>格式十</w:t>
      </w:r>
      <w:r>
        <w:rPr>
          <w:rFonts w:hint="eastAsia"/>
          <w:b/>
          <w:sz w:val="28"/>
        </w:rPr>
        <w:t>一</w:t>
      </w:r>
      <w:r>
        <w:rPr>
          <w:b/>
          <w:sz w:val="28"/>
        </w:rPr>
        <w:t>：</w:t>
      </w:r>
    </w:p>
    <w:p>
      <w:pPr>
        <w:pStyle w:val="75"/>
        <w:ind w:firstLine="480"/>
      </w:pPr>
      <w:r>
        <w:t>（以下格式文件由供应商根据需要选用）</w:t>
      </w:r>
    </w:p>
    <w:p>
      <w:pPr>
        <w:pStyle w:val="75"/>
        <w:jc w:val="center"/>
        <w:outlineLvl w:val="3"/>
      </w:pPr>
      <w:r>
        <w:rPr>
          <w:b/>
          <w:sz w:val="24"/>
        </w:rPr>
        <w:t>残疾人福利性单位声明函</w:t>
      </w:r>
    </w:p>
    <w:p>
      <w:pPr>
        <w:pStyle w:val="75"/>
        <w:ind w:firstLine="480"/>
      </w:pPr>
      <w:r>
        <w:t>本单位郑重声明，根据《财政部 民政部 中国残疾人联合会关于促进残疾人就业政府采购政策的通知》（财库〔2017〕 141号）的规定，本单位为符合条件的残疾人福利性单位，且本单位参加______单位的______项目采购活动提供本单位制造的货物（由本单位承担工程/提供服务），或者提供其他残疾人福利性单位制造的货物（不包括使用非残疾人福利性单位注册商标的货物）。</w:t>
      </w:r>
    </w:p>
    <w:p>
      <w:pPr>
        <w:pStyle w:val="75"/>
        <w:ind w:firstLine="480"/>
      </w:pPr>
      <w:r>
        <w:t>本单位对上述声明的真实性负责。如有虚假，将依法承担相应责任。</w:t>
      </w:r>
    </w:p>
    <w:p>
      <w:pPr>
        <w:pStyle w:val="75"/>
      </w:pPr>
      <w:r>
        <w:t xml:space="preserve"> 单位名称（盖章）：__________________</w:t>
      </w:r>
    </w:p>
    <w:p>
      <w:pPr>
        <w:pStyle w:val="75"/>
      </w:pPr>
      <w:r>
        <w:t xml:space="preserve"> 日期： 年 月 日</w:t>
      </w:r>
    </w:p>
    <w:p>
      <w:pPr>
        <w:pStyle w:val="75"/>
        <w:ind w:firstLine="480"/>
      </w:pPr>
      <w:r>
        <w:t>注：本函未填写或未勾选视作未做声明。</w:t>
      </w:r>
    </w:p>
    <w:p>
      <w:pPr>
        <w:pStyle w:val="75"/>
        <w:ind w:firstLine="480"/>
      </w:pPr>
    </w:p>
    <w:p>
      <w:pPr>
        <w:pStyle w:val="75"/>
        <w:ind w:firstLine="480"/>
        <w:rPr>
          <w:b/>
          <w:sz w:val="28"/>
        </w:rPr>
      </w:pPr>
      <w:r>
        <w:rPr>
          <w:b/>
          <w:sz w:val="28"/>
        </w:rPr>
        <w:t>格式十</w:t>
      </w:r>
      <w:r>
        <w:rPr>
          <w:rFonts w:hint="eastAsia"/>
          <w:b/>
          <w:sz w:val="28"/>
        </w:rPr>
        <w:t>二</w:t>
      </w:r>
      <w:r>
        <w:rPr>
          <w:b/>
          <w:sz w:val="28"/>
        </w:rPr>
        <w:t>：</w:t>
      </w:r>
    </w:p>
    <w:p>
      <w:pPr>
        <w:pStyle w:val="75"/>
        <w:ind w:firstLine="480"/>
      </w:pPr>
      <w:r>
        <w:t>（以下格式文件由供应商根据需要选用）</w:t>
      </w:r>
    </w:p>
    <w:p>
      <w:pPr>
        <w:pStyle w:val="75"/>
        <w:jc w:val="center"/>
        <w:outlineLvl w:val="3"/>
      </w:pPr>
      <w:r>
        <w:rPr>
          <w:b/>
          <w:sz w:val="24"/>
        </w:rPr>
        <w:t>投标人业绩及客户满意度情况表</w:t>
      </w:r>
    </w:p>
    <w:tbl>
      <w:tblPr>
        <w:tblStyle w:val="31"/>
        <w:tblW w:w="0" w:type="auto"/>
        <w:tblInd w:w="0" w:type="dxa"/>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Layout w:type="autofit"/>
        <w:tblCellMar>
          <w:top w:w="0" w:type="dxa"/>
          <w:left w:w="108" w:type="dxa"/>
          <w:bottom w:w="0" w:type="dxa"/>
          <w:right w:w="108" w:type="dxa"/>
        </w:tblCellMar>
      </w:tblPr>
      <w:tblGrid>
        <w:gridCol w:w="1065"/>
        <w:gridCol w:w="1065"/>
        <w:gridCol w:w="1065"/>
        <w:gridCol w:w="1065"/>
        <w:gridCol w:w="1065"/>
        <w:gridCol w:w="1065"/>
        <w:gridCol w:w="1065"/>
        <w:gridCol w:w="1065"/>
      </w:tblGrid>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c>
          <w:tcPr>
            <w:tcW w:w="1065" w:type="dxa"/>
          </w:tcPr>
          <w:p>
            <w:pPr>
              <w:pStyle w:val="75"/>
            </w:pPr>
            <w:r>
              <w:t>序号</w:t>
            </w:r>
          </w:p>
        </w:tc>
        <w:tc>
          <w:tcPr>
            <w:tcW w:w="1065" w:type="dxa"/>
          </w:tcPr>
          <w:p>
            <w:pPr>
              <w:pStyle w:val="75"/>
            </w:pPr>
            <w:r>
              <w:t>客户名称</w:t>
            </w:r>
          </w:p>
        </w:tc>
        <w:tc>
          <w:tcPr>
            <w:tcW w:w="1065" w:type="dxa"/>
          </w:tcPr>
          <w:p>
            <w:pPr>
              <w:pStyle w:val="75"/>
            </w:pPr>
            <w:r>
              <w:t>项目名称及合同金额（万元）</w:t>
            </w:r>
          </w:p>
        </w:tc>
        <w:tc>
          <w:tcPr>
            <w:tcW w:w="1065" w:type="dxa"/>
          </w:tcPr>
          <w:p>
            <w:pPr>
              <w:pStyle w:val="75"/>
            </w:pPr>
            <w:r>
              <w:t>签订合同时间</w:t>
            </w:r>
          </w:p>
        </w:tc>
        <w:tc>
          <w:tcPr>
            <w:tcW w:w="1065" w:type="dxa"/>
          </w:tcPr>
          <w:p>
            <w:pPr>
              <w:pStyle w:val="75"/>
            </w:pPr>
            <w:r>
              <w:t>竣工验收报告时间</w:t>
            </w:r>
          </w:p>
        </w:tc>
        <w:tc>
          <w:tcPr>
            <w:tcW w:w="1065" w:type="dxa"/>
          </w:tcPr>
          <w:p>
            <w:pPr>
              <w:pStyle w:val="75"/>
            </w:pPr>
            <w:r>
              <w:t>客户满意度情况（满意或优等类似的正面满意度评价）</w:t>
            </w:r>
          </w:p>
        </w:tc>
        <w:tc>
          <w:tcPr>
            <w:tcW w:w="1065" w:type="dxa"/>
          </w:tcPr>
          <w:p>
            <w:pPr>
              <w:pStyle w:val="75"/>
            </w:pPr>
            <w:r>
              <w:t>联系人及电话</w:t>
            </w:r>
          </w:p>
        </w:tc>
        <w:tc>
          <w:tcPr>
            <w:tcW w:w="1065" w:type="dxa"/>
          </w:tcPr>
          <w:p>
            <w:pPr>
              <w:pStyle w:val="75"/>
            </w:pPr>
            <w:r>
              <w:t>证明文件所在位置（请填写证明文件具体所在位置及页码）</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c>
          <w:tcPr>
            <w:tcW w:w="1065" w:type="dxa"/>
          </w:tcPr>
          <w:p>
            <w:pPr>
              <w:pStyle w:val="75"/>
            </w:pPr>
            <w:r>
              <w:t>1</w:t>
            </w:r>
          </w:p>
        </w:tc>
        <w:tc>
          <w:tcPr>
            <w:tcW w:w="1065" w:type="dxa"/>
            <w:tcBorders>
              <w:top w:val="single" w:color="auto" w:sz="2" w:space="0"/>
              <w:left w:val="single" w:color="auto" w:sz="2" w:space="0"/>
              <w:right w:val="single" w:color="auto" w:sz="2" w:space="0"/>
            </w:tcBorders>
          </w:tcPr>
          <w:p/>
        </w:tc>
        <w:tc>
          <w:tcPr>
            <w:tcW w:w="1065" w:type="dxa"/>
            <w:tcBorders>
              <w:top w:val="single" w:color="auto" w:sz="2" w:space="0"/>
              <w:left w:val="single" w:color="auto" w:sz="2" w:space="0"/>
              <w:right w:val="single" w:color="auto" w:sz="2" w:space="0"/>
            </w:tcBorders>
          </w:tcPr>
          <w:p/>
        </w:tc>
        <w:tc>
          <w:tcPr>
            <w:tcW w:w="1065" w:type="dxa"/>
            <w:tcBorders>
              <w:top w:val="single" w:color="auto" w:sz="2" w:space="0"/>
              <w:left w:val="single" w:color="auto" w:sz="2" w:space="0"/>
              <w:right w:val="single" w:color="auto" w:sz="2" w:space="0"/>
            </w:tcBorders>
          </w:tcPr>
          <w:p/>
        </w:tc>
        <w:tc>
          <w:tcPr>
            <w:tcW w:w="1065" w:type="dxa"/>
            <w:tcBorders>
              <w:top w:val="single" w:color="auto" w:sz="2" w:space="0"/>
              <w:left w:val="single" w:color="auto" w:sz="2" w:space="0"/>
              <w:right w:val="single" w:color="auto" w:sz="2" w:space="0"/>
            </w:tcBorders>
          </w:tcPr>
          <w:p/>
        </w:tc>
        <w:tc>
          <w:tcPr>
            <w:tcW w:w="1065" w:type="dxa"/>
            <w:tcBorders>
              <w:top w:val="single" w:color="auto" w:sz="2" w:space="0"/>
              <w:left w:val="single" w:color="auto" w:sz="2" w:space="0"/>
              <w:right w:val="single" w:color="auto" w:sz="2" w:space="0"/>
            </w:tcBorders>
          </w:tcPr>
          <w:p/>
        </w:tc>
        <w:tc>
          <w:tcPr>
            <w:tcW w:w="1065" w:type="dxa"/>
            <w:tcBorders>
              <w:top w:val="single" w:color="auto" w:sz="2" w:space="0"/>
              <w:left w:val="single" w:color="auto" w:sz="2" w:space="0"/>
              <w:right w:val="single" w:color="auto" w:sz="2" w:space="0"/>
            </w:tcBorders>
          </w:tcPr>
          <w:p/>
        </w:tc>
        <w:tc>
          <w:tcPr>
            <w:tcW w:w="1065" w:type="dxa"/>
          </w:tcP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c>
          <w:tcPr>
            <w:tcW w:w="1065" w:type="dxa"/>
          </w:tcPr>
          <w:p>
            <w:pPr>
              <w:pStyle w:val="75"/>
            </w:pPr>
            <w:r>
              <w:t xml:space="preserve"> 2</w:t>
            </w:r>
          </w:p>
        </w:tc>
        <w:tc>
          <w:tcPr>
            <w:tcW w:w="1065" w:type="dxa"/>
            <w:tcBorders>
              <w:top w:val="single" w:color="auto" w:sz="2" w:space="0"/>
              <w:left w:val="single" w:color="auto" w:sz="2" w:space="0"/>
              <w:right w:val="single" w:color="auto" w:sz="2" w:space="0"/>
            </w:tcBorders>
          </w:tcPr>
          <w:p/>
        </w:tc>
        <w:tc>
          <w:tcPr>
            <w:tcW w:w="1065" w:type="dxa"/>
            <w:tcBorders>
              <w:top w:val="single" w:color="auto" w:sz="2" w:space="0"/>
              <w:left w:val="single" w:color="auto" w:sz="2" w:space="0"/>
              <w:right w:val="single" w:color="auto" w:sz="2" w:space="0"/>
            </w:tcBorders>
          </w:tcPr>
          <w:p/>
        </w:tc>
        <w:tc>
          <w:tcPr>
            <w:tcW w:w="1065" w:type="dxa"/>
            <w:tcBorders>
              <w:top w:val="single" w:color="auto" w:sz="2" w:space="0"/>
              <w:left w:val="single" w:color="auto" w:sz="2" w:space="0"/>
              <w:right w:val="single" w:color="auto" w:sz="2" w:space="0"/>
            </w:tcBorders>
          </w:tcPr>
          <w:p/>
        </w:tc>
        <w:tc>
          <w:tcPr>
            <w:tcW w:w="1065" w:type="dxa"/>
            <w:tcBorders>
              <w:top w:val="single" w:color="auto" w:sz="2" w:space="0"/>
              <w:left w:val="single" w:color="auto" w:sz="2" w:space="0"/>
              <w:right w:val="single" w:color="auto" w:sz="2" w:space="0"/>
            </w:tcBorders>
          </w:tcPr>
          <w:p/>
        </w:tc>
        <w:tc>
          <w:tcPr>
            <w:tcW w:w="1065" w:type="dxa"/>
            <w:tcBorders>
              <w:top w:val="single" w:color="auto" w:sz="2" w:space="0"/>
              <w:left w:val="single" w:color="auto" w:sz="2" w:space="0"/>
              <w:right w:val="single" w:color="auto" w:sz="2" w:space="0"/>
            </w:tcBorders>
          </w:tcPr>
          <w:p/>
        </w:tc>
        <w:tc>
          <w:tcPr>
            <w:tcW w:w="1065" w:type="dxa"/>
            <w:tcBorders>
              <w:top w:val="single" w:color="auto" w:sz="2" w:space="0"/>
              <w:left w:val="single" w:color="auto" w:sz="2" w:space="0"/>
              <w:right w:val="single" w:color="auto" w:sz="2" w:space="0"/>
            </w:tcBorders>
          </w:tcPr>
          <w:p/>
        </w:tc>
        <w:tc>
          <w:tcPr>
            <w:tcW w:w="1065" w:type="dxa"/>
          </w:tcP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c>
          <w:tcPr>
            <w:tcW w:w="1065" w:type="dxa"/>
          </w:tcPr>
          <w:p>
            <w:pPr>
              <w:pStyle w:val="75"/>
            </w:pPr>
            <w:r>
              <w:t xml:space="preserve"> 3</w:t>
            </w:r>
          </w:p>
        </w:tc>
        <w:tc>
          <w:tcPr>
            <w:tcW w:w="1065" w:type="dxa"/>
            <w:tcBorders>
              <w:top w:val="single" w:color="auto" w:sz="2" w:space="0"/>
              <w:left w:val="single" w:color="auto" w:sz="2" w:space="0"/>
              <w:right w:val="single" w:color="auto" w:sz="2" w:space="0"/>
            </w:tcBorders>
          </w:tcPr>
          <w:p/>
        </w:tc>
        <w:tc>
          <w:tcPr>
            <w:tcW w:w="1065" w:type="dxa"/>
            <w:tcBorders>
              <w:top w:val="single" w:color="auto" w:sz="2" w:space="0"/>
              <w:left w:val="single" w:color="auto" w:sz="2" w:space="0"/>
              <w:right w:val="single" w:color="auto" w:sz="2" w:space="0"/>
            </w:tcBorders>
          </w:tcPr>
          <w:p/>
        </w:tc>
        <w:tc>
          <w:tcPr>
            <w:tcW w:w="1065" w:type="dxa"/>
            <w:tcBorders>
              <w:top w:val="single" w:color="auto" w:sz="2" w:space="0"/>
              <w:left w:val="single" w:color="auto" w:sz="2" w:space="0"/>
              <w:right w:val="single" w:color="auto" w:sz="2" w:space="0"/>
            </w:tcBorders>
          </w:tcPr>
          <w:p/>
        </w:tc>
        <w:tc>
          <w:tcPr>
            <w:tcW w:w="1065" w:type="dxa"/>
            <w:tcBorders>
              <w:top w:val="single" w:color="auto" w:sz="2" w:space="0"/>
              <w:left w:val="single" w:color="auto" w:sz="2" w:space="0"/>
              <w:right w:val="single" w:color="auto" w:sz="2" w:space="0"/>
            </w:tcBorders>
          </w:tcPr>
          <w:p/>
        </w:tc>
        <w:tc>
          <w:tcPr>
            <w:tcW w:w="1065" w:type="dxa"/>
            <w:tcBorders>
              <w:top w:val="single" w:color="auto" w:sz="2" w:space="0"/>
              <w:left w:val="single" w:color="auto" w:sz="2" w:space="0"/>
              <w:right w:val="single" w:color="auto" w:sz="2" w:space="0"/>
            </w:tcBorders>
          </w:tcPr>
          <w:p/>
        </w:tc>
        <w:tc>
          <w:tcPr>
            <w:tcW w:w="1065" w:type="dxa"/>
            <w:tcBorders>
              <w:top w:val="single" w:color="auto" w:sz="2" w:space="0"/>
              <w:left w:val="single" w:color="auto" w:sz="2" w:space="0"/>
              <w:right w:val="single" w:color="auto" w:sz="2" w:space="0"/>
            </w:tcBorders>
          </w:tcPr>
          <w:p/>
        </w:tc>
        <w:tc>
          <w:tcPr>
            <w:tcW w:w="1065" w:type="dxa"/>
          </w:tcP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c>
          <w:tcPr>
            <w:tcW w:w="1065" w:type="dxa"/>
          </w:tcPr>
          <w:p>
            <w:pPr>
              <w:pStyle w:val="75"/>
            </w:pPr>
            <w:r>
              <w:t xml:space="preserve"> 4</w:t>
            </w:r>
          </w:p>
        </w:tc>
        <w:tc>
          <w:tcPr>
            <w:tcW w:w="1065" w:type="dxa"/>
            <w:tcBorders>
              <w:top w:val="single" w:color="auto" w:sz="2" w:space="0"/>
              <w:left w:val="single" w:color="auto" w:sz="2" w:space="0"/>
              <w:right w:val="single" w:color="auto" w:sz="2" w:space="0"/>
            </w:tcBorders>
          </w:tcPr>
          <w:p/>
        </w:tc>
        <w:tc>
          <w:tcPr>
            <w:tcW w:w="1065" w:type="dxa"/>
            <w:tcBorders>
              <w:top w:val="single" w:color="auto" w:sz="2" w:space="0"/>
              <w:left w:val="single" w:color="auto" w:sz="2" w:space="0"/>
              <w:right w:val="single" w:color="auto" w:sz="2" w:space="0"/>
            </w:tcBorders>
          </w:tcPr>
          <w:p/>
        </w:tc>
        <w:tc>
          <w:tcPr>
            <w:tcW w:w="1065" w:type="dxa"/>
            <w:tcBorders>
              <w:top w:val="single" w:color="auto" w:sz="2" w:space="0"/>
              <w:left w:val="single" w:color="auto" w:sz="2" w:space="0"/>
              <w:right w:val="single" w:color="auto" w:sz="2" w:space="0"/>
            </w:tcBorders>
          </w:tcPr>
          <w:p/>
        </w:tc>
        <w:tc>
          <w:tcPr>
            <w:tcW w:w="1065" w:type="dxa"/>
            <w:tcBorders>
              <w:top w:val="single" w:color="auto" w:sz="2" w:space="0"/>
              <w:left w:val="single" w:color="auto" w:sz="2" w:space="0"/>
              <w:right w:val="single" w:color="auto" w:sz="2" w:space="0"/>
            </w:tcBorders>
          </w:tcPr>
          <w:p/>
        </w:tc>
        <w:tc>
          <w:tcPr>
            <w:tcW w:w="1065" w:type="dxa"/>
            <w:tcBorders>
              <w:top w:val="single" w:color="auto" w:sz="2" w:space="0"/>
              <w:left w:val="single" w:color="auto" w:sz="2" w:space="0"/>
              <w:right w:val="single" w:color="auto" w:sz="2" w:space="0"/>
            </w:tcBorders>
          </w:tcPr>
          <w:p/>
        </w:tc>
        <w:tc>
          <w:tcPr>
            <w:tcW w:w="1065" w:type="dxa"/>
            <w:tcBorders>
              <w:top w:val="single" w:color="auto" w:sz="2" w:space="0"/>
              <w:left w:val="single" w:color="auto" w:sz="2" w:space="0"/>
              <w:right w:val="single" w:color="auto" w:sz="2" w:space="0"/>
            </w:tcBorders>
          </w:tcPr>
          <w:p/>
        </w:tc>
        <w:tc>
          <w:tcPr>
            <w:tcW w:w="1065" w:type="dxa"/>
          </w:tcP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c>
          <w:tcPr>
            <w:tcW w:w="1065" w:type="dxa"/>
          </w:tcPr>
          <w:p>
            <w:pPr>
              <w:pStyle w:val="75"/>
            </w:pPr>
            <w:r>
              <w:t xml:space="preserve"> …</w:t>
            </w:r>
          </w:p>
        </w:tc>
        <w:tc>
          <w:tcPr>
            <w:tcW w:w="1065" w:type="dxa"/>
            <w:tcBorders>
              <w:top w:val="single" w:color="auto" w:sz="2" w:space="0"/>
              <w:left w:val="single" w:color="auto" w:sz="2" w:space="0"/>
              <w:right w:val="single" w:color="auto" w:sz="2" w:space="0"/>
            </w:tcBorders>
          </w:tcPr>
          <w:p/>
        </w:tc>
        <w:tc>
          <w:tcPr>
            <w:tcW w:w="1065" w:type="dxa"/>
            <w:tcBorders>
              <w:top w:val="single" w:color="auto" w:sz="2" w:space="0"/>
              <w:left w:val="single" w:color="auto" w:sz="2" w:space="0"/>
              <w:right w:val="single" w:color="auto" w:sz="2" w:space="0"/>
            </w:tcBorders>
          </w:tcPr>
          <w:p/>
        </w:tc>
        <w:tc>
          <w:tcPr>
            <w:tcW w:w="1065" w:type="dxa"/>
            <w:tcBorders>
              <w:top w:val="single" w:color="auto" w:sz="2" w:space="0"/>
              <w:left w:val="single" w:color="auto" w:sz="2" w:space="0"/>
              <w:right w:val="single" w:color="auto" w:sz="2" w:space="0"/>
            </w:tcBorders>
          </w:tcPr>
          <w:p/>
        </w:tc>
        <w:tc>
          <w:tcPr>
            <w:tcW w:w="1065" w:type="dxa"/>
            <w:tcBorders>
              <w:top w:val="single" w:color="auto" w:sz="2" w:space="0"/>
              <w:left w:val="single" w:color="auto" w:sz="2" w:space="0"/>
              <w:right w:val="single" w:color="auto" w:sz="2" w:space="0"/>
            </w:tcBorders>
          </w:tcPr>
          <w:p/>
        </w:tc>
        <w:tc>
          <w:tcPr>
            <w:tcW w:w="1065" w:type="dxa"/>
            <w:tcBorders>
              <w:top w:val="single" w:color="auto" w:sz="2" w:space="0"/>
              <w:left w:val="single" w:color="auto" w:sz="2" w:space="0"/>
              <w:right w:val="single" w:color="auto" w:sz="2" w:space="0"/>
            </w:tcBorders>
          </w:tcPr>
          <w:p/>
        </w:tc>
        <w:tc>
          <w:tcPr>
            <w:tcW w:w="1065" w:type="dxa"/>
            <w:tcBorders>
              <w:top w:val="single" w:color="auto" w:sz="2" w:space="0"/>
              <w:left w:val="single" w:color="auto" w:sz="2" w:space="0"/>
              <w:right w:val="single" w:color="auto" w:sz="2" w:space="0"/>
            </w:tcBorders>
          </w:tcPr>
          <w:p/>
        </w:tc>
        <w:tc>
          <w:tcPr>
            <w:tcW w:w="1065" w:type="dxa"/>
          </w:tcPr>
          <w:p/>
        </w:tc>
      </w:tr>
    </w:tbl>
    <w:p>
      <w:pPr>
        <w:pStyle w:val="75"/>
        <w:ind w:firstLine="480"/>
      </w:pPr>
      <w:r>
        <w:t>根据上述业绩情况，按招标文件要求附销售或服务合同</w:t>
      </w:r>
      <w:r>
        <w:rPr>
          <w:rFonts w:hint="eastAsia"/>
        </w:rPr>
        <w:t>扫描</w:t>
      </w:r>
      <w:r>
        <w:t>件及评审标准要求的证明材料。</w:t>
      </w:r>
    </w:p>
    <w:p>
      <w:pPr>
        <w:pStyle w:val="75"/>
        <w:ind w:firstLine="480"/>
      </w:pPr>
    </w:p>
    <w:p>
      <w:pPr>
        <w:pStyle w:val="75"/>
        <w:outlineLvl w:val="2"/>
      </w:pPr>
    </w:p>
    <w:p>
      <w:pPr>
        <w:pStyle w:val="75"/>
        <w:outlineLvl w:val="2"/>
      </w:pPr>
      <w:r>
        <w:rPr>
          <w:b/>
          <w:sz w:val="28"/>
        </w:rPr>
        <w:t>格式十</w:t>
      </w:r>
      <w:r>
        <w:rPr>
          <w:rFonts w:hint="eastAsia"/>
          <w:b/>
          <w:sz w:val="28"/>
        </w:rPr>
        <w:t>三</w:t>
      </w:r>
      <w:r>
        <w:rPr>
          <w:b/>
          <w:sz w:val="28"/>
        </w:rPr>
        <w:t>：</w:t>
      </w:r>
    </w:p>
    <w:p>
      <w:pPr>
        <w:pStyle w:val="75"/>
        <w:ind w:firstLine="480"/>
      </w:pPr>
      <w:r>
        <w:t>（以下格式文件由供应商根据需要选用）</w:t>
      </w:r>
    </w:p>
    <w:p>
      <w:pPr>
        <w:pStyle w:val="75"/>
        <w:jc w:val="center"/>
        <w:outlineLvl w:val="3"/>
      </w:pPr>
      <w:r>
        <w:rPr>
          <w:b/>
          <w:sz w:val="24"/>
        </w:rPr>
        <w:t>项目</w:t>
      </w:r>
      <w:r>
        <w:rPr>
          <w:rFonts w:hint="eastAsia"/>
          <w:b/>
          <w:sz w:val="24"/>
        </w:rPr>
        <w:t>团队</w:t>
      </w:r>
      <w:r>
        <w:rPr>
          <w:b/>
          <w:sz w:val="24"/>
        </w:rPr>
        <w:t>情况表</w:t>
      </w:r>
    </w:p>
    <w:tbl>
      <w:tblPr>
        <w:tblStyle w:val="31"/>
        <w:tblW w:w="0" w:type="auto"/>
        <w:jc w:val="center"/>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Layout w:type="autofit"/>
        <w:tblCellMar>
          <w:top w:w="0" w:type="dxa"/>
          <w:left w:w="108" w:type="dxa"/>
          <w:bottom w:w="0" w:type="dxa"/>
          <w:right w:w="108" w:type="dxa"/>
        </w:tblCellMar>
      </w:tblPr>
      <w:tblGrid>
        <w:gridCol w:w="1065"/>
        <w:gridCol w:w="1065"/>
        <w:gridCol w:w="1065"/>
        <w:gridCol w:w="1065"/>
        <w:gridCol w:w="1065"/>
        <w:gridCol w:w="1065"/>
      </w:tblGrid>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jc w:val="center"/>
        </w:trPr>
        <w:tc>
          <w:tcPr>
            <w:tcW w:w="1065" w:type="dxa"/>
          </w:tcPr>
          <w:p>
            <w:pPr>
              <w:pStyle w:val="75"/>
            </w:pPr>
            <w:r>
              <w:t>序号</w:t>
            </w:r>
          </w:p>
        </w:tc>
        <w:tc>
          <w:tcPr>
            <w:tcW w:w="1065" w:type="dxa"/>
          </w:tcPr>
          <w:p>
            <w:pPr>
              <w:pStyle w:val="75"/>
            </w:pPr>
            <w:r>
              <w:t>岗位</w:t>
            </w:r>
          </w:p>
        </w:tc>
        <w:tc>
          <w:tcPr>
            <w:tcW w:w="1065" w:type="dxa"/>
          </w:tcPr>
          <w:p>
            <w:pPr>
              <w:pStyle w:val="75"/>
            </w:pPr>
            <w:r>
              <w:t>人数</w:t>
            </w:r>
          </w:p>
        </w:tc>
        <w:tc>
          <w:tcPr>
            <w:tcW w:w="1065" w:type="dxa"/>
          </w:tcPr>
          <w:p>
            <w:pPr>
              <w:pStyle w:val="75"/>
            </w:pPr>
            <w:r>
              <w:t>岗位职责</w:t>
            </w:r>
          </w:p>
        </w:tc>
        <w:tc>
          <w:tcPr>
            <w:tcW w:w="1065" w:type="dxa"/>
          </w:tcPr>
          <w:p>
            <w:pPr>
              <w:pStyle w:val="75"/>
            </w:pPr>
            <w:r>
              <w:t>岗位要求的响应情况</w:t>
            </w:r>
          </w:p>
        </w:tc>
        <w:tc>
          <w:tcPr>
            <w:tcW w:w="1065" w:type="dxa"/>
          </w:tcPr>
          <w:p>
            <w:pPr>
              <w:pStyle w:val="75"/>
            </w:pPr>
            <w:r>
              <w:t>证明文件所在位置（请填写证明文件具体所在位置及页码）</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jc w:val="center"/>
        </w:trPr>
        <w:tc>
          <w:tcPr>
            <w:tcW w:w="1065" w:type="dxa"/>
          </w:tcPr>
          <w:p>
            <w:pPr>
              <w:pStyle w:val="75"/>
            </w:pPr>
            <w:r>
              <w:t>1</w:t>
            </w:r>
          </w:p>
        </w:tc>
        <w:tc>
          <w:tcPr>
            <w:tcW w:w="1065" w:type="dxa"/>
            <w:tcBorders>
              <w:top w:val="single" w:color="auto" w:sz="2" w:space="0"/>
              <w:left w:val="single" w:color="auto" w:sz="2" w:space="0"/>
              <w:right w:val="single" w:color="auto" w:sz="2" w:space="0"/>
            </w:tcBorders>
          </w:tcPr>
          <w:p/>
        </w:tc>
        <w:tc>
          <w:tcPr>
            <w:tcW w:w="1065" w:type="dxa"/>
            <w:tcBorders>
              <w:top w:val="single" w:color="auto" w:sz="2" w:space="0"/>
              <w:left w:val="single" w:color="auto" w:sz="2" w:space="0"/>
              <w:right w:val="single" w:color="auto" w:sz="2" w:space="0"/>
            </w:tcBorders>
          </w:tcPr>
          <w:p/>
        </w:tc>
        <w:tc>
          <w:tcPr>
            <w:tcW w:w="1065" w:type="dxa"/>
            <w:tcBorders>
              <w:top w:val="single" w:color="auto" w:sz="2" w:space="0"/>
              <w:left w:val="single" w:color="auto" w:sz="2" w:space="0"/>
              <w:right w:val="single" w:color="auto" w:sz="2" w:space="0"/>
            </w:tcBorders>
          </w:tcPr>
          <w:p/>
        </w:tc>
        <w:tc>
          <w:tcPr>
            <w:tcW w:w="1065" w:type="dxa"/>
            <w:tcBorders>
              <w:top w:val="single" w:color="auto" w:sz="2" w:space="0"/>
              <w:left w:val="single" w:color="auto" w:sz="2" w:space="0"/>
              <w:right w:val="single" w:color="auto" w:sz="2" w:space="0"/>
            </w:tcBorders>
          </w:tcPr>
          <w:p/>
        </w:tc>
        <w:tc>
          <w:tcPr>
            <w:tcW w:w="1065" w:type="dxa"/>
          </w:tcP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jc w:val="center"/>
        </w:trPr>
        <w:tc>
          <w:tcPr>
            <w:tcW w:w="1065" w:type="dxa"/>
          </w:tcPr>
          <w:p>
            <w:pPr>
              <w:pStyle w:val="75"/>
            </w:pPr>
            <w:r>
              <w:t xml:space="preserve"> …</w:t>
            </w:r>
          </w:p>
        </w:tc>
        <w:tc>
          <w:tcPr>
            <w:tcW w:w="1065" w:type="dxa"/>
            <w:tcBorders>
              <w:top w:val="single" w:color="auto" w:sz="2" w:space="0"/>
              <w:left w:val="single" w:color="auto" w:sz="2" w:space="0"/>
              <w:right w:val="single" w:color="auto" w:sz="2" w:space="0"/>
            </w:tcBorders>
          </w:tcPr>
          <w:p/>
        </w:tc>
        <w:tc>
          <w:tcPr>
            <w:tcW w:w="1065" w:type="dxa"/>
            <w:tcBorders>
              <w:top w:val="single" w:color="auto" w:sz="2" w:space="0"/>
              <w:left w:val="single" w:color="auto" w:sz="2" w:space="0"/>
              <w:right w:val="single" w:color="auto" w:sz="2" w:space="0"/>
            </w:tcBorders>
          </w:tcPr>
          <w:p/>
        </w:tc>
        <w:tc>
          <w:tcPr>
            <w:tcW w:w="1065" w:type="dxa"/>
            <w:tcBorders>
              <w:top w:val="single" w:color="auto" w:sz="2" w:space="0"/>
              <w:left w:val="single" w:color="auto" w:sz="2" w:space="0"/>
              <w:right w:val="single" w:color="auto" w:sz="2" w:space="0"/>
            </w:tcBorders>
          </w:tcPr>
          <w:p/>
        </w:tc>
        <w:tc>
          <w:tcPr>
            <w:tcW w:w="1065" w:type="dxa"/>
            <w:tcBorders>
              <w:top w:val="single" w:color="auto" w:sz="2" w:space="0"/>
              <w:left w:val="single" w:color="auto" w:sz="2" w:space="0"/>
              <w:right w:val="single" w:color="auto" w:sz="2" w:space="0"/>
            </w:tcBorders>
          </w:tcPr>
          <w:p/>
        </w:tc>
        <w:tc>
          <w:tcPr>
            <w:tcW w:w="1065" w:type="dxa"/>
          </w:tcPr>
          <w:p/>
        </w:tc>
      </w:tr>
    </w:tbl>
    <w:p>
      <w:pPr>
        <w:pStyle w:val="75"/>
        <w:outlineLvl w:val="2"/>
      </w:pPr>
      <w:r>
        <w:rPr>
          <w:b/>
          <w:sz w:val="28"/>
        </w:rPr>
        <w:t>格式十</w:t>
      </w:r>
      <w:r>
        <w:rPr>
          <w:rFonts w:hint="eastAsia"/>
          <w:b/>
          <w:sz w:val="28"/>
        </w:rPr>
        <w:t>四</w:t>
      </w:r>
      <w:r>
        <w:rPr>
          <w:b/>
          <w:sz w:val="28"/>
        </w:rPr>
        <w:t>：</w:t>
      </w:r>
    </w:p>
    <w:p>
      <w:pPr>
        <w:pStyle w:val="75"/>
        <w:jc w:val="center"/>
        <w:outlineLvl w:val="3"/>
      </w:pPr>
      <w:r>
        <w:rPr>
          <w:b/>
          <w:sz w:val="24"/>
        </w:rPr>
        <w:t>《技术和服务要求响应表》</w:t>
      </w:r>
    </w:p>
    <w:tbl>
      <w:tblPr>
        <w:tblStyle w:val="31"/>
        <w:tblW w:w="0" w:type="auto"/>
        <w:jc w:val="center"/>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Layout w:type="autofit"/>
        <w:tblCellMar>
          <w:top w:w="0" w:type="dxa"/>
          <w:left w:w="108" w:type="dxa"/>
          <w:bottom w:w="0" w:type="dxa"/>
          <w:right w:w="108" w:type="dxa"/>
        </w:tblCellMar>
      </w:tblPr>
      <w:tblGrid>
        <w:gridCol w:w="923"/>
        <w:gridCol w:w="923"/>
        <w:gridCol w:w="923"/>
        <w:gridCol w:w="923"/>
        <w:gridCol w:w="923"/>
        <w:gridCol w:w="923"/>
        <w:gridCol w:w="923"/>
      </w:tblGrid>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jc w:val="center"/>
        </w:trPr>
        <w:tc>
          <w:tcPr>
            <w:tcW w:w="923" w:type="dxa"/>
          </w:tcPr>
          <w:p>
            <w:pPr>
              <w:pStyle w:val="75"/>
            </w:pPr>
            <w:r>
              <w:t>序号</w:t>
            </w:r>
          </w:p>
        </w:tc>
        <w:tc>
          <w:tcPr>
            <w:tcW w:w="923" w:type="dxa"/>
          </w:tcPr>
          <w:p>
            <w:pPr>
              <w:pStyle w:val="75"/>
            </w:pPr>
            <w:r>
              <w:t>标的名称</w:t>
            </w:r>
          </w:p>
        </w:tc>
        <w:tc>
          <w:tcPr>
            <w:tcW w:w="923" w:type="dxa"/>
          </w:tcPr>
          <w:p>
            <w:pPr>
              <w:pStyle w:val="75"/>
            </w:pPr>
            <w:r>
              <w:t>采购文件规定的技术和服务要求</w:t>
            </w:r>
          </w:p>
        </w:tc>
        <w:tc>
          <w:tcPr>
            <w:tcW w:w="923" w:type="dxa"/>
          </w:tcPr>
          <w:p>
            <w:pPr>
              <w:pStyle w:val="75"/>
            </w:pPr>
            <w:r>
              <w:t>投标文件响应的具体内容</w:t>
            </w:r>
          </w:p>
        </w:tc>
        <w:tc>
          <w:tcPr>
            <w:tcW w:w="923" w:type="dxa"/>
          </w:tcPr>
          <w:p>
            <w:pPr>
              <w:pStyle w:val="75"/>
            </w:pPr>
            <w:r>
              <w:t>是否偏离</w:t>
            </w:r>
          </w:p>
        </w:tc>
        <w:tc>
          <w:tcPr>
            <w:tcW w:w="923" w:type="dxa"/>
          </w:tcPr>
          <w:p>
            <w:pPr>
              <w:pStyle w:val="75"/>
            </w:pPr>
            <w:r>
              <w:t>证明文件所在位置（请填写证明文件具体所在位置及页码）</w:t>
            </w:r>
          </w:p>
        </w:tc>
        <w:tc>
          <w:tcPr>
            <w:tcW w:w="923" w:type="dxa"/>
          </w:tcPr>
          <w:p>
            <w:pPr>
              <w:pStyle w:val="75"/>
            </w:pPr>
            <w:r>
              <w:rPr>
                <w:rFonts w:hint="eastAsia"/>
              </w:rPr>
              <w:t>备注</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jc w:val="center"/>
        </w:trPr>
        <w:tc>
          <w:tcPr>
            <w:tcW w:w="923" w:type="dxa"/>
          </w:tcPr>
          <w:p>
            <w:pPr>
              <w:pStyle w:val="75"/>
            </w:pPr>
            <w:r>
              <w:t>1</w:t>
            </w:r>
          </w:p>
        </w:tc>
        <w:tc>
          <w:tcPr>
            <w:tcW w:w="923" w:type="dxa"/>
            <w:tcBorders>
              <w:top w:val="single" w:color="auto" w:sz="2" w:space="0"/>
              <w:left w:val="single" w:color="auto" w:sz="2" w:space="0"/>
              <w:right w:val="single" w:color="auto" w:sz="2" w:space="0"/>
            </w:tcBorders>
          </w:tcPr>
          <w:p/>
        </w:tc>
        <w:tc>
          <w:tcPr>
            <w:tcW w:w="923" w:type="dxa"/>
            <w:tcBorders>
              <w:top w:val="single" w:color="auto" w:sz="2" w:space="0"/>
              <w:left w:val="single" w:color="auto" w:sz="2" w:space="0"/>
              <w:right w:val="single" w:color="auto" w:sz="2" w:space="0"/>
            </w:tcBorders>
          </w:tcPr>
          <w:p/>
        </w:tc>
        <w:tc>
          <w:tcPr>
            <w:tcW w:w="923" w:type="dxa"/>
            <w:tcBorders>
              <w:top w:val="single" w:color="auto" w:sz="2" w:space="0"/>
              <w:left w:val="single" w:color="auto" w:sz="2" w:space="0"/>
              <w:right w:val="single" w:color="auto" w:sz="2" w:space="0"/>
            </w:tcBorders>
          </w:tcPr>
          <w:p/>
        </w:tc>
        <w:tc>
          <w:tcPr>
            <w:tcW w:w="923" w:type="dxa"/>
            <w:tcBorders>
              <w:top w:val="single" w:color="auto" w:sz="2" w:space="0"/>
              <w:left w:val="single" w:color="auto" w:sz="2" w:space="0"/>
              <w:right w:val="single" w:color="auto" w:sz="2" w:space="0"/>
            </w:tcBorders>
          </w:tcPr>
          <w:p/>
        </w:tc>
        <w:tc>
          <w:tcPr>
            <w:tcW w:w="923" w:type="dxa"/>
          </w:tcPr>
          <w:p/>
        </w:tc>
        <w:tc>
          <w:tcPr>
            <w:tcW w:w="923" w:type="dxa"/>
          </w:tcP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jc w:val="center"/>
        </w:trPr>
        <w:tc>
          <w:tcPr>
            <w:tcW w:w="923" w:type="dxa"/>
          </w:tcPr>
          <w:p>
            <w:pPr>
              <w:pStyle w:val="75"/>
            </w:pPr>
            <w:r>
              <w:t>2</w:t>
            </w:r>
          </w:p>
        </w:tc>
        <w:tc>
          <w:tcPr>
            <w:tcW w:w="923" w:type="dxa"/>
            <w:tcBorders>
              <w:top w:val="single" w:color="auto" w:sz="2" w:space="0"/>
              <w:left w:val="single" w:color="auto" w:sz="2" w:space="0"/>
              <w:right w:val="single" w:color="auto" w:sz="2" w:space="0"/>
            </w:tcBorders>
          </w:tcPr>
          <w:p/>
        </w:tc>
        <w:tc>
          <w:tcPr>
            <w:tcW w:w="923" w:type="dxa"/>
            <w:tcBorders>
              <w:top w:val="single" w:color="auto" w:sz="2" w:space="0"/>
              <w:left w:val="single" w:color="auto" w:sz="2" w:space="0"/>
              <w:right w:val="single" w:color="auto" w:sz="2" w:space="0"/>
            </w:tcBorders>
          </w:tcPr>
          <w:p/>
        </w:tc>
        <w:tc>
          <w:tcPr>
            <w:tcW w:w="923" w:type="dxa"/>
            <w:tcBorders>
              <w:top w:val="single" w:color="auto" w:sz="2" w:space="0"/>
              <w:left w:val="single" w:color="auto" w:sz="2" w:space="0"/>
              <w:right w:val="single" w:color="auto" w:sz="2" w:space="0"/>
            </w:tcBorders>
          </w:tcPr>
          <w:p/>
        </w:tc>
        <w:tc>
          <w:tcPr>
            <w:tcW w:w="923" w:type="dxa"/>
            <w:tcBorders>
              <w:top w:val="single" w:color="auto" w:sz="2" w:space="0"/>
              <w:left w:val="single" w:color="auto" w:sz="2" w:space="0"/>
              <w:right w:val="single" w:color="auto" w:sz="2" w:space="0"/>
            </w:tcBorders>
          </w:tcPr>
          <w:p/>
        </w:tc>
        <w:tc>
          <w:tcPr>
            <w:tcW w:w="923" w:type="dxa"/>
          </w:tcPr>
          <w:p/>
        </w:tc>
        <w:tc>
          <w:tcPr>
            <w:tcW w:w="923" w:type="dxa"/>
          </w:tcP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jc w:val="center"/>
        </w:trPr>
        <w:tc>
          <w:tcPr>
            <w:tcW w:w="923" w:type="dxa"/>
          </w:tcPr>
          <w:p>
            <w:pPr>
              <w:pStyle w:val="75"/>
            </w:pPr>
            <w:r>
              <w:t>3</w:t>
            </w:r>
          </w:p>
        </w:tc>
        <w:tc>
          <w:tcPr>
            <w:tcW w:w="923" w:type="dxa"/>
            <w:tcBorders>
              <w:top w:val="single" w:color="auto" w:sz="2" w:space="0"/>
              <w:left w:val="single" w:color="auto" w:sz="2" w:space="0"/>
              <w:right w:val="single" w:color="auto" w:sz="2" w:space="0"/>
            </w:tcBorders>
          </w:tcPr>
          <w:p/>
        </w:tc>
        <w:tc>
          <w:tcPr>
            <w:tcW w:w="923" w:type="dxa"/>
            <w:tcBorders>
              <w:top w:val="single" w:color="auto" w:sz="2" w:space="0"/>
              <w:left w:val="single" w:color="auto" w:sz="2" w:space="0"/>
              <w:right w:val="single" w:color="auto" w:sz="2" w:space="0"/>
            </w:tcBorders>
          </w:tcPr>
          <w:p/>
        </w:tc>
        <w:tc>
          <w:tcPr>
            <w:tcW w:w="923" w:type="dxa"/>
            <w:tcBorders>
              <w:top w:val="single" w:color="auto" w:sz="2" w:space="0"/>
              <w:left w:val="single" w:color="auto" w:sz="2" w:space="0"/>
              <w:right w:val="single" w:color="auto" w:sz="2" w:space="0"/>
            </w:tcBorders>
          </w:tcPr>
          <w:p/>
        </w:tc>
        <w:tc>
          <w:tcPr>
            <w:tcW w:w="923" w:type="dxa"/>
            <w:tcBorders>
              <w:top w:val="single" w:color="auto" w:sz="2" w:space="0"/>
              <w:left w:val="single" w:color="auto" w:sz="2" w:space="0"/>
              <w:right w:val="single" w:color="auto" w:sz="2" w:space="0"/>
            </w:tcBorders>
          </w:tcPr>
          <w:p/>
        </w:tc>
        <w:tc>
          <w:tcPr>
            <w:tcW w:w="923" w:type="dxa"/>
          </w:tcPr>
          <w:p/>
        </w:tc>
        <w:tc>
          <w:tcPr>
            <w:tcW w:w="923" w:type="dxa"/>
          </w:tcP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jc w:val="center"/>
        </w:trPr>
        <w:tc>
          <w:tcPr>
            <w:tcW w:w="923" w:type="dxa"/>
          </w:tcPr>
          <w:p>
            <w:pPr>
              <w:pStyle w:val="75"/>
            </w:pPr>
            <w:r>
              <w:t>4</w:t>
            </w:r>
          </w:p>
        </w:tc>
        <w:tc>
          <w:tcPr>
            <w:tcW w:w="923" w:type="dxa"/>
            <w:tcBorders>
              <w:top w:val="single" w:color="auto" w:sz="2" w:space="0"/>
              <w:left w:val="single" w:color="auto" w:sz="2" w:space="0"/>
              <w:right w:val="single" w:color="auto" w:sz="2" w:space="0"/>
            </w:tcBorders>
          </w:tcPr>
          <w:p/>
        </w:tc>
        <w:tc>
          <w:tcPr>
            <w:tcW w:w="923" w:type="dxa"/>
            <w:tcBorders>
              <w:top w:val="single" w:color="auto" w:sz="2" w:space="0"/>
              <w:left w:val="single" w:color="auto" w:sz="2" w:space="0"/>
              <w:right w:val="single" w:color="auto" w:sz="2" w:space="0"/>
            </w:tcBorders>
          </w:tcPr>
          <w:p/>
        </w:tc>
        <w:tc>
          <w:tcPr>
            <w:tcW w:w="923" w:type="dxa"/>
            <w:tcBorders>
              <w:top w:val="single" w:color="auto" w:sz="2" w:space="0"/>
              <w:left w:val="single" w:color="auto" w:sz="2" w:space="0"/>
              <w:right w:val="single" w:color="auto" w:sz="2" w:space="0"/>
            </w:tcBorders>
          </w:tcPr>
          <w:p/>
        </w:tc>
        <w:tc>
          <w:tcPr>
            <w:tcW w:w="923" w:type="dxa"/>
            <w:tcBorders>
              <w:top w:val="single" w:color="auto" w:sz="2" w:space="0"/>
              <w:left w:val="single" w:color="auto" w:sz="2" w:space="0"/>
              <w:right w:val="single" w:color="auto" w:sz="2" w:space="0"/>
            </w:tcBorders>
          </w:tcPr>
          <w:p/>
        </w:tc>
        <w:tc>
          <w:tcPr>
            <w:tcW w:w="923" w:type="dxa"/>
          </w:tcPr>
          <w:p/>
        </w:tc>
        <w:tc>
          <w:tcPr>
            <w:tcW w:w="923" w:type="dxa"/>
          </w:tcP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jc w:val="center"/>
        </w:trPr>
        <w:tc>
          <w:tcPr>
            <w:tcW w:w="923" w:type="dxa"/>
          </w:tcPr>
          <w:p>
            <w:pPr>
              <w:pStyle w:val="75"/>
            </w:pPr>
            <w:r>
              <w:t>5</w:t>
            </w:r>
          </w:p>
        </w:tc>
        <w:tc>
          <w:tcPr>
            <w:tcW w:w="923" w:type="dxa"/>
            <w:tcBorders>
              <w:top w:val="single" w:color="auto" w:sz="2" w:space="0"/>
              <w:left w:val="single" w:color="auto" w:sz="2" w:space="0"/>
              <w:right w:val="single" w:color="auto" w:sz="2" w:space="0"/>
            </w:tcBorders>
          </w:tcPr>
          <w:p/>
        </w:tc>
        <w:tc>
          <w:tcPr>
            <w:tcW w:w="923" w:type="dxa"/>
            <w:tcBorders>
              <w:top w:val="single" w:color="auto" w:sz="2" w:space="0"/>
              <w:left w:val="single" w:color="auto" w:sz="2" w:space="0"/>
              <w:right w:val="single" w:color="auto" w:sz="2" w:space="0"/>
            </w:tcBorders>
          </w:tcPr>
          <w:p/>
        </w:tc>
        <w:tc>
          <w:tcPr>
            <w:tcW w:w="923" w:type="dxa"/>
            <w:tcBorders>
              <w:top w:val="single" w:color="auto" w:sz="2" w:space="0"/>
              <w:left w:val="single" w:color="auto" w:sz="2" w:space="0"/>
              <w:right w:val="single" w:color="auto" w:sz="2" w:space="0"/>
            </w:tcBorders>
          </w:tcPr>
          <w:p/>
        </w:tc>
        <w:tc>
          <w:tcPr>
            <w:tcW w:w="923" w:type="dxa"/>
            <w:tcBorders>
              <w:top w:val="single" w:color="auto" w:sz="2" w:space="0"/>
              <w:left w:val="single" w:color="auto" w:sz="2" w:space="0"/>
              <w:right w:val="single" w:color="auto" w:sz="2" w:space="0"/>
            </w:tcBorders>
          </w:tcPr>
          <w:p/>
        </w:tc>
        <w:tc>
          <w:tcPr>
            <w:tcW w:w="923" w:type="dxa"/>
          </w:tcPr>
          <w:p/>
        </w:tc>
        <w:tc>
          <w:tcPr>
            <w:tcW w:w="923" w:type="dxa"/>
          </w:tcP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jc w:val="center"/>
        </w:trPr>
        <w:tc>
          <w:tcPr>
            <w:tcW w:w="923" w:type="dxa"/>
          </w:tcPr>
          <w:p>
            <w:pPr>
              <w:pStyle w:val="75"/>
            </w:pPr>
            <w:r>
              <w:t>6</w:t>
            </w:r>
          </w:p>
        </w:tc>
        <w:tc>
          <w:tcPr>
            <w:tcW w:w="923" w:type="dxa"/>
            <w:tcBorders>
              <w:top w:val="single" w:color="auto" w:sz="2" w:space="0"/>
              <w:left w:val="single" w:color="auto" w:sz="2" w:space="0"/>
              <w:right w:val="single" w:color="auto" w:sz="2" w:space="0"/>
            </w:tcBorders>
          </w:tcPr>
          <w:p/>
        </w:tc>
        <w:tc>
          <w:tcPr>
            <w:tcW w:w="923" w:type="dxa"/>
            <w:tcBorders>
              <w:top w:val="single" w:color="auto" w:sz="2" w:space="0"/>
              <w:left w:val="single" w:color="auto" w:sz="2" w:space="0"/>
              <w:right w:val="single" w:color="auto" w:sz="2" w:space="0"/>
            </w:tcBorders>
          </w:tcPr>
          <w:p/>
        </w:tc>
        <w:tc>
          <w:tcPr>
            <w:tcW w:w="923" w:type="dxa"/>
            <w:tcBorders>
              <w:top w:val="single" w:color="auto" w:sz="2" w:space="0"/>
              <w:left w:val="single" w:color="auto" w:sz="2" w:space="0"/>
              <w:right w:val="single" w:color="auto" w:sz="2" w:space="0"/>
            </w:tcBorders>
          </w:tcPr>
          <w:p/>
        </w:tc>
        <w:tc>
          <w:tcPr>
            <w:tcW w:w="923" w:type="dxa"/>
            <w:tcBorders>
              <w:top w:val="single" w:color="auto" w:sz="2" w:space="0"/>
              <w:left w:val="single" w:color="auto" w:sz="2" w:space="0"/>
              <w:right w:val="single" w:color="auto" w:sz="2" w:space="0"/>
            </w:tcBorders>
          </w:tcPr>
          <w:p/>
        </w:tc>
        <w:tc>
          <w:tcPr>
            <w:tcW w:w="923" w:type="dxa"/>
          </w:tcPr>
          <w:p/>
        </w:tc>
        <w:tc>
          <w:tcPr>
            <w:tcW w:w="923" w:type="dxa"/>
          </w:tcP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jc w:val="center"/>
        </w:trPr>
        <w:tc>
          <w:tcPr>
            <w:tcW w:w="923" w:type="dxa"/>
          </w:tcPr>
          <w:p>
            <w:pPr>
              <w:pStyle w:val="75"/>
            </w:pPr>
            <w:r>
              <w:t>……</w:t>
            </w:r>
          </w:p>
        </w:tc>
        <w:tc>
          <w:tcPr>
            <w:tcW w:w="923" w:type="dxa"/>
            <w:tcBorders>
              <w:top w:val="single" w:color="auto" w:sz="2" w:space="0"/>
              <w:left w:val="single" w:color="auto" w:sz="2" w:space="0"/>
              <w:right w:val="single" w:color="auto" w:sz="2" w:space="0"/>
            </w:tcBorders>
          </w:tcPr>
          <w:p/>
        </w:tc>
        <w:tc>
          <w:tcPr>
            <w:tcW w:w="923" w:type="dxa"/>
            <w:tcBorders>
              <w:top w:val="single" w:color="auto" w:sz="2" w:space="0"/>
              <w:left w:val="single" w:color="auto" w:sz="2" w:space="0"/>
              <w:right w:val="single" w:color="auto" w:sz="2" w:space="0"/>
            </w:tcBorders>
          </w:tcPr>
          <w:p/>
        </w:tc>
        <w:tc>
          <w:tcPr>
            <w:tcW w:w="923" w:type="dxa"/>
            <w:tcBorders>
              <w:top w:val="single" w:color="auto" w:sz="2" w:space="0"/>
              <w:left w:val="single" w:color="auto" w:sz="2" w:space="0"/>
              <w:right w:val="single" w:color="auto" w:sz="2" w:space="0"/>
            </w:tcBorders>
          </w:tcPr>
          <w:p/>
        </w:tc>
        <w:tc>
          <w:tcPr>
            <w:tcW w:w="923" w:type="dxa"/>
            <w:tcBorders>
              <w:top w:val="single" w:color="auto" w:sz="2" w:space="0"/>
              <w:left w:val="single" w:color="auto" w:sz="2" w:space="0"/>
              <w:right w:val="single" w:color="auto" w:sz="2" w:space="0"/>
            </w:tcBorders>
          </w:tcPr>
          <w:p/>
        </w:tc>
        <w:tc>
          <w:tcPr>
            <w:tcW w:w="923" w:type="dxa"/>
          </w:tcPr>
          <w:p/>
        </w:tc>
        <w:tc>
          <w:tcPr>
            <w:tcW w:w="923" w:type="dxa"/>
          </w:tcPr>
          <w:p/>
        </w:tc>
      </w:tr>
    </w:tbl>
    <w:p>
      <w:pPr>
        <w:pStyle w:val="75"/>
        <w:ind w:firstLine="480"/>
      </w:pPr>
      <w:r>
        <w:t>说明：</w:t>
      </w:r>
    </w:p>
    <w:p>
      <w:pPr>
        <w:pStyle w:val="75"/>
        <w:ind w:firstLine="480"/>
      </w:pPr>
      <w:r>
        <w:t xml:space="preserve"> 1.“采购文件规定的技术和服务要求”项下填写的内容应与招标文件中采购需求的</w:t>
      </w:r>
      <w:r>
        <w:rPr>
          <w:rFonts w:hint="eastAsia"/>
        </w:rPr>
        <w:t>技术和服务要求</w:t>
      </w:r>
      <w:r>
        <w:t>内容保持一致。投标人应当如实填写上表“投标文件响应的具体内容”处内容，对采购文件提出的要求和条件作出明确响应，并列明具体响应数值或内容，只注明符合、满足等无具体内容表述的，将视为未实质性满足招标文件要求。投标人需要说明的内容若需特殊表达，应先在本表中进行相应说明，再另页应答，否则投标无效。</w:t>
      </w:r>
    </w:p>
    <w:p>
      <w:pPr>
        <w:pStyle w:val="75"/>
        <w:ind w:firstLine="480"/>
      </w:pPr>
      <w:r>
        <w:t xml:space="preserve"> 2. “是否偏离”项下应按下列规定填写：优于的，填写“正偏离”；符合的，填写“无偏离”；低于的，填写“负偏离”。“备注”处可填写偏离情况的说明。</w:t>
      </w:r>
    </w:p>
    <w:p>
      <w:pPr>
        <w:pStyle w:val="75"/>
        <w:ind w:firstLine="480"/>
      </w:pPr>
    </w:p>
    <w:p>
      <w:pPr>
        <w:pStyle w:val="75"/>
        <w:outlineLvl w:val="2"/>
      </w:pPr>
      <w:r>
        <w:rPr>
          <w:b/>
          <w:sz w:val="28"/>
        </w:rPr>
        <w:t>格式十</w:t>
      </w:r>
      <w:r>
        <w:rPr>
          <w:rFonts w:hint="eastAsia"/>
          <w:b/>
          <w:sz w:val="28"/>
        </w:rPr>
        <w:t>五</w:t>
      </w:r>
      <w:r>
        <w:rPr>
          <w:b/>
          <w:sz w:val="28"/>
        </w:rPr>
        <w:t>：</w:t>
      </w:r>
    </w:p>
    <w:p>
      <w:pPr>
        <w:pStyle w:val="75"/>
        <w:jc w:val="center"/>
        <w:outlineLvl w:val="3"/>
      </w:pPr>
      <w:r>
        <w:rPr>
          <w:b/>
          <w:sz w:val="24"/>
        </w:rPr>
        <w:t>《商务条件响应表》</w:t>
      </w:r>
    </w:p>
    <w:tbl>
      <w:tblPr>
        <w:tblStyle w:val="31"/>
        <w:tblW w:w="0" w:type="auto"/>
        <w:tblInd w:w="0" w:type="dxa"/>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Layout w:type="autofit"/>
        <w:tblCellMar>
          <w:top w:w="0" w:type="dxa"/>
          <w:left w:w="108" w:type="dxa"/>
          <w:bottom w:w="0" w:type="dxa"/>
          <w:right w:w="108" w:type="dxa"/>
        </w:tblCellMar>
      </w:tblPr>
      <w:tblGrid>
        <w:gridCol w:w="1187"/>
        <w:gridCol w:w="1187"/>
        <w:gridCol w:w="1187"/>
        <w:gridCol w:w="1187"/>
        <w:gridCol w:w="1187"/>
        <w:gridCol w:w="1187"/>
      </w:tblGrid>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PrEx>
        <w:tc>
          <w:tcPr>
            <w:tcW w:w="1187" w:type="dxa"/>
          </w:tcPr>
          <w:p>
            <w:pPr>
              <w:pStyle w:val="75"/>
            </w:pPr>
            <w:r>
              <w:t xml:space="preserve"> 序号</w:t>
            </w:r>
          </w:p>
        </w:tc>
        <w:tc>
          <w:tcPr>
            <w:tcW w:w="1187" w:type="dxa"/>
          </w:tcPr>
          <w:p>
            <w:pPr>
              <w:pStyle w:val="75"/>
            </w:pPr>
            <w:r>
              <w:t xml:space="preserve"> 采购文件规定的商务条件</w:t>
            </w:r>
          </w:p>
        </w:tc>
        <w:tc>
          <w:tcPr>
            <w:tcW w:w="1187" w:type="dxa"/>
          </w:tcPr>
          <w:p>
            <w:pPr>
              <w:pStyle w:val="75"/>
            </w:pPr>
            <w:r>
              <w:t xml:space="preserve"> 投标文件响应的具体内容</w:t>
            </w:r>
          </w:p>
        </w:tc>
        <w:tc>
          <w:tcPr>
            <w:tcW w:w="1187" w:type="dxa"/>
          </w:tcPr>
          <w:p>
            <w:pPr>
              <w:pStyle w:val="75"/>
            </w:pPr>
            <w:r>
              <w:t xml:space="preserve"> 是否偏离</w:t>
            </w:r>
          </w:p>
        </w:tc>
        <w:tc>
          <w:tcPr>
            <w:tcW w:w="1187" w:type="dxa"/>
          </w:tcPr>
          <w:p>
            <w:pPr>
              <w:pStyle w:val="75"/>
            </w:pPr>
            <w:r>
              <w:t xml:space="preserve"> 证明文件所在位置（请填写证明文件具体所在位置及页码）</w:t>
            </w:r>
          </w:p>
        </w:tc>
        <w:tc>
          <w:tcPr>
            <w:tcW w:w="1187" w:type="dxa"/>
          </w:tcPr>
          <w:p>
            <w:pPr>
              <w:pStyle w:val="75"/>
            </w:pPr>
            <w:r>
              <w:t xml:space="preserve"> 备注</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c>
          <w:tcPr>
            <w:tcW w:w="1187" w:type="dxa"/>
          </w:tcPr>
          <w:p>
            <w:pPr>
              <w:pStyle w:val="75"/>
            </w:pPr>
            <w:r>
              <w:t>1</w:t>
            </w:r>
          </w:p>
        </w:tc>
        <w:tc>
          <w:tcPr>
            <w:tcW w:w="1187" w:type="dxa"/>
            <w:tcBorders>
              <w:top w:val="single" w:color="auto" w:sz="2" w:space="0"/>
              <w:left w:val="single" w:color="auto" w:sz="2" w:space="0"/>
              <w:right w:val="single" w:color="auto" w:sz="2" w:space="0"/>
            </w:tcBorders>
          </w:tcPr>
          <w:p/>
        </w:tc>
        <w:tc>
          <w:tcPr>
            <w:tcW w:w="1187" w:type="dxa"/>
            <w:tcBorders>
              <w:top w:val="single" w:color="auto" w:sz="2" w:space="0"/>
              <w:left w:val="single" w:color="auto" w:sz="2" w:space="0"/>
              <w:right w:val="single" w:color="auto" w:sz="2" w:space="0"/>
            </w:tcBorders>
          </w:tcPr>
          <w:p/>
        </w:tc>
        <w:tc>
          <w:tcPr>
            <w:tcW w:w="1187" w:type="dxa"/>
            <w:tcBorders>
              <w:top w:val="single" w:color="auto" w:sz="2" w:space="0"/>
              <w:left w:val="single" w:color="auto" w:sz="2" w:space="0"/>
              <w:right w:val="single" w:color="auto" w:sz="2" w:space="0"/>
            </w:tcBorders>
          </w:tcPr>
          <w:p/>
        </w:tc>
        <w:tc>
          <w:tcPr>
            <w:tcW w:w="1187" w:type="dxa"/>
            <w:tcBorders>
              <w:top w:val="single" w:color="auto" w:sz="2" w:space="0"/>
              <w:left w:val="single" w:color="auto" w:sz="2" w:space="0"/>
              <w:right w:val="single" w:color="auto" w:sz="2" w:space="0"/>
            </w:tcBorders>
          </w:tcPr>
          <w:p/>
        </w:tc>
        <w:tc>
          <w:tcPr>
            <w:tcW w:w="1187" w:type="dxa"/>
          </w:tcP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c>
          <w:tcPr>
            <w:tcW w:w="1187" w:type="dxa"/>
          </w:tcPr>
          <w:p>
            <w:pPr>
              <w:pStyle w:val="75"/>
            </w:pPr>
            <w:r>
              <w:t>2</w:t>
            </w:r>
          </w:p>
        </w:tc>
        <w:tc>
          <w:tcPr>
            <w:tcW w:w="1187" w:type="dxa"/>
            <w:tcBorders>
              <w:top w:val="single" w:color="auto" w:sz="2" w:space="0"/>
              <w:left w:val="single" w:color="auto" w:sz="2" w:space="0"/>
              <w:right w:val="single" w:color="auto" w:sz="2" w:space="0"/>
            </w:tcBorders>
          </w:tcPr>
          <w:p/>
        </w:tc>
        <w:tc>
          <w:tcPr>
            <w:tcW w:w="1187" w:type="dxa"/>
            <w:tcBorders>
              <w:top w:val="single" w:color="auto" w:sz="2" w:space="0"/>
              <w:left w:val="single" w:color="auto" w:sz="2" w:space="0"/>
              <w:right w:val="single" w:color="auto" w:sz="2" w:space="0"/>
            </w:tcBorders>
          </w:tcPr>
          <w:p/>
        </w:tc>
        <w:tc>
          <w:tcPr>
            <w:tcW w:w="1187" w:type="dxa"/>
            <w:tcBorders>
              <w:top w:val="single" w:color="auto" w:sz="2" w:space="0"/>
              <w:left w:val="single" w:color="auto" w:sz="2" w:space="0"/>
              <w:right w:val="single" w:color="auto" w:sz="2" w:space="0"/>
            </w:tcBorders>
          </w:tcPr>
          <w:p/>
        </w:tc>
        <w:tc>
          <w:tcPr>
            <w:tcW w:w="1187" w:type="dxa"/>
            <w:tcBorders>
              <w:top w:val="single" w:color="auto" w:sz="2" w:space="0"/>
              <w:left w:val="single" w:color="auto" w:sz="2" w:space="0"/>
              <w:right w:val="single" w:color="auto" w:sz="2" w:space="0"/>
            </w:tcBorders>
          </w:tcPr>
          <w:p/>
        </w:tc>
        <w:tc>
          <w:tcPr>
            <w:tcW w:w="1187" w:type="dxa"/>
          </w:tcP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c>
          <w:tcPr>
            <w:tcW w:w="1187" w:type="dxa"/>
          </w:tcPr>
          <w:p>
            <w:pPr>
              <w:pStyle w:val="75"/>
            </w:pPr>
            <w:r>
              <w:t>3</w:t>
            </w:r>
          </w:p>
        </w:tc>
        <w:tc>
          <w:tcPr>
            <w:tcW w:w="1187" w:type="dxa"/>
            <w:tcBorders>
              <w:top w:val="single" w:color="auto" w:sz="2" w:space="0"/>
              <w:left w:val="single" w:color="auto" w:sz="2" w:space="0"/>
              <w:right w:val="single" w:color="auto" w:sz="2" w:space="0"/>
            </w:tcBorders>
          </w:tcPr>
          <w:p/>
        </w:tc>
        <w:tc>
          <w:tcPr>
            <w:tcW w:w="1187" w:type="dxa"/>
            <w:tcBorders>
              <w:top w:val="single" w:color="auto" w:sz="2" w:space="0"/>
              <w:left w:val="single" w:color="auto" w:sz="2" w:space="0"/>
              <w:right w:val="single" w:color="auto" w:sz="2" w:space="0"/>
            </w:tcBorders>
          </w:tcPr>
          <w:p/>
        </w:tc>
        <w:tc>
          <w:tcPr>
            <w:tcW w:w="1187" w:type="dxa"/>
            <w:tcBorders>
              <w:top w:val="single" w:color="auto" w:sz="2" w:space="0"/>
              <w:left w:val="single" w:color="auto" w:sz="2" w:space="0"/>
              <w:right w:val="single" w:color="auto" w:sz="2" w:space="0"/>
            </w:tcBorders>
          </w:tcPr>
          <w:p/>
        </w:tc>
        <w:tc>
          <w:tcPr>
            <w:tcW w:w="1187" w:type="dxa"/>
            <w:tcBorders>
              <w:top w:val="single" w:color="auto" w:sz="2" w:space="0"/>
              <w:left w:val="single" w:color="auto" w:sz="2" w:space="0"/>
              <w:right w:val="single" w:color="auto" w:sz="2" w:space="0"/>
            </w:tcBorders>
          </w:tcPr>
          <w:p/>
        </w:tc>
        <w:tc>
          <w:tcPr>
            <w:tcW w:w="1187" w:type="dxa"/>
          </w:tcP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c>
          <w:tcPr>
            <w:tcW w:w="1187" w:type="dxa"/>
          </w:tcPr>
          <w:p>
            <w:pPr>
              <w:pStyle w:val="75"/>
            </w:pPr>
            <w:r>
              <w:t>4</w:t>
            </w:r>
          </w:p>
        </w:tc>
        <w:tc>
          <w:tcPr>
            <w:tcW w:w="1187" w:type="dxa"/>
            <w:tcBorders>
              <w:top w:val="single" w:color="auto" w:sz="2" w:space="0"/>
              <w:left w:val="single" w:color="auto" w:sz="2" w:space="0"/>
              <w:right w:val="single" w:color="auto" w:sz="2" w:space="0"/>
            </w:tcBorders>
          </w:tcPr>
          <w:p/>
        </w:tc>
        <w:tc>
          <w:tcPr>
            <w:tcW w:w="1187" w:type="dxa"/>
            <w:tcBorders>
              <w:top w:val="single" w:color="auto" w:sz="2" w:space="0"/>
              <w:left w:val="single" w:color="auto" w:sz="2" w:space="0"/>
              <w:right w:val="single" w:color="auto" w:sz="2" w:space="0"/>
            </w:tcBorders>
          </w:tcPr>
          <w:p/>
        </w:tc>
        <w:tc>
          <w:tcPr>
            <w:tcW w:w="1187" w:type="dxa"/>
            <w:tcBorders>
              <w:top w:val="single" w:color="auto" w:sz="2" w:space="0"/>
              <w:left w:val="single" w:color="auto" w:sz="2" w:space="0"/>
              <w:right w:val="single" w:color="auto" w:sz="2" w:space="0"/>
            </w:tcBorders>
          </w:tcPr>
          <w:p/>
        </w:tc>
        <w:tc>
          <w:tcPr>
            <w:tcW w:w="1187" w:type="dxa"/>
            <w:tcBorders>
              <w:top w:val="single" w:color="auto" w:sz="2" w:space="0"/>
              <w:left w:val="single" w:color="auto" w:sz="2" w:space="0"/>
              <w:right w:val="single" w:color="auto" w:sz="2" w:space="0"/>
            </w:tcBorders>
          </w:tcPr>
          <w:p/>
        </w:tc>
        <w:tc>
          <w:tcPr>
            <w:tcW w:w="1187" w:type="dxa"/>
          </w:tcP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c>
          <w:tcPr>
            <w:tcW w:w="1187" w:type="dxa"/>
          </w:tcPr>
          <w:p>
            <w:pPr>
              <w:pStyle w:val="75"/>
            </w:pPr>
            <w:r>
              <w:t>5</w:t>
            </w:r>
          </w:p>
        </w:tc>
        <w:tc>
          <w:tcPr>
            <w:tcW w:w="1187" w:type="dxa"/>
            <w:tcBorders>
              <w:top w:val="single" w:color="auto" w:sz="2" w:space="0"/>
              <w:left w:val="single" w:color="auto" w:sz="2" w:space="0"/>
              <w:right w:val="single" w:color="auto" w:sz="2" w:space="0"/>
            </w:tcBorders>
          </w:tcPr>
          <w:p/>
        </w:tc>
        <w:tc>
          <w:tcPr>
            <w:tcW w:w="1187" w:type="dxa"/>
            <w:tcBorders>
              <w:top w:val="single" w:color="auto" w:sz="2" w:space="0"/>
              <w:left w:val="single" w:color="auto" w:sz="2" w:space="0"/>
              <w:right w:val="single" w:color="auto" w:sz="2" w:space="0"/>
            </w:tcBorders>
          </w:tcPr>
          <w:p/>
        </w:tc>
        <w:tc>
          <w:tcPr>
            <w:tcW w:w="1187" w:type="dxa"/>
            <w:tcBorders>
              <w:top w:val="single" w:color="auto" w:sz="2" w:space="0"/>
              <w:left w:val="single" w:color="auto" w:sz="2" w:space="0"/>
              <w:right w:val="single" w:color="auto" w:sz="2" w:space="0"/>
            </w:tcBorders>
          </w:tcPr>
          <w:p/>
        </w:tc>
        <w:tc>
          <w:tcPr>
            <w:tcW w:w="1187" w:type="dxa"/>
            <w:tcBorders>
              <w:top w:val="single" w:color="auto" w:sz="2" w:space="0"/>
              <w:left w:val="single" w:color="auto" w:sz="2" w:space="0"/>
              <w:right w:val="single" w:color="auto" w:sz="2" w:space="0"/>
            </w:tcBorders>
          </w:tcPr>
          <w:p/>
        </w:tc>
        <w:tc>
          <w:tcPr>
            <w:tcW w:w="1187" w:type="dxa"/>
          </w:tcP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c>
          <w:tcPr>
            <w:tcW w:w="1187" w:type="dxa"/>
          </w:tcPr>
          <w:p>
            <w:pPr>
              <w:pStyle w:val="75"/>
            </w:pPr>
            <w:r>
              <w:t>6</w:t>
            </w:r>
          </w:p>
        </w:tc>
        <w:tc>
          <w:tcPr>
            <w:tcW w:w="1187" w:type="dxa"/>
            <w:tcBorders>
              <w:top w:val="single" w:color="auto" w:sz="2" w:space="0"/>
              <w:left w:val="single" w:color="auto" w:sz="2" w:space="0"/>
              <w:right w:val="single" w:color="auto" w:sz="2" w:space="0"/>
            </w:tcBorders>
          </w:tcPr>
          <w:p/>
        </w:tc>
        <w:tc>
          <w:tcPr>
            <w:tcW w:w="1187" w:type="dxa"/>
            <w:tcBorders>
              <w:top w:val="single" w:color="auto" w:sz="2" w:space="0"/>
              <w:left w:val="single" w:color="auto" w:sz="2" w:space="0"/>
              <w:right w:val="single" w:color="auto" w:sz="2" w:space="0"/>
            </w:tcBorders>
          </w:tcPr>
          <w:p/>
        </w:tc>
        <w:tc>
          <w:tcPr>
            <w:tcW w:w="1187" w:type="dxa"/>
            <w:tcBorders>
              <w:top w:val="single" w:color="auto" w:sz="2" w:space="0"/>
              <w:left w:val="single" w:color="auto" w:sz="2" w:space="0"/>
              <w:right w:val="single" w:color="auto" w:sz="2" w:space="0"/>
            </w:tcBorders>
          </w:tcPr>
          <w:p/>
        </w:tc>
        <w:tc>
          <w:tcPr>
            <w:tcW w:w="1187" w:type="dxa"/>
            <w:tcBorders>
              <w:top w:val="single" w:color="auto" w:sz="2" w:space="0"/>
              <w:left w:val="single" w:color="auto" w:sz="2" w:space="0"/>
              <w:right w:val="single" w:color="auto" w:sz="2" w:space="0"/>
            </w:tcBorders>
          </w:tcPr>
          <w:p/>
        </w:tc>
        <w:tc>
          <w:tcPr>
            <w:tcW w:w="1187" w:type="dxa"/>
          </w:tcP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c>
          <w:tcPr>
            <w:tcW w:w="1187" w:type="dxa"/>
          </w:tcPr>
          <w:p>
            <w:pPr>
              <w:pStyle w:val="75"/>
            </w:pPr>
            <w:r>
              <w:t>7</w:t>
            </w:r>
          </w:p>
        </w:tc>
        <w:tc>
          <w:tcPr>
            <w:tcW w:w="1187" w:type="dxa"/>
            <w:tcBorders>
              <w:top w:val="single" w:color="auto" w:sz="2" w:space="0"/>
              <w:left w:val="single" w:color="auto" w:sz="2" w:space="0"/>
              <w:right w:val="single" w:color="auto" w:sz="2" w:space="0"/>
            </w:tcBorders>
          </w:tcPr>
          <w:p/>
        </w:tc>
        <w:tc>
          <w:tcPr>
            <w:tcW w:w="1187" w:type="dxa"/>
            <w:tcBorders>
              <w:top w:val="single" w:color="auto" w:sz="2" w:space="0"/>
              <w:left w:val="single" w:color="auto" w:sz="2" w:space="0"/>
              <w:right w:val="single" w:color="auto" w:sz="2" w:space="0"/>
            </w:tcBorders>
          </w:tcPr>
          <w:p/>
        </w:tc>
        <w:tc>
          <w:tcPr>
            <w:tcW w:w="1187" w:type="dxa"/>
            <w:tcBorders>
              <w:top w:val="single" w:color="auto" w:sz="2" w:space="0"/>
              <w:left w:val="single" w:color="auto" w:sz="2" w:space="0"/>
              <w:right w:val="single" w:color="auto" w:sz="2" w:space="0"/>
            </w:tcBorders>
          </w:tcPr>
          <w:p/>
        </w:tc>
        <w:tc>
          <w:tcPr>
            <w:tcW w:w="1187" w:type="dxa"/>
            <w:tcBorders>
              <w:top w:val="single" w:color="auto" w:sz="2" w:space="0"/>
              <w:left w:val="single" w:color="auto" w:sz="2" w:space="0"/>
              <w:right w:val="single" w:color="auto" w:sz="2" w:space="0"/>
            </w:tcBorders>
          </w:tcPr>
          <w:p/>
        </w:tc>
        <w:tc>
          <w:tcPr>
            <w:tcW w:w="1187" w:type="dxa"/>
          </w:tcP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c>
          <w:tcPr>
            <w:tcW w:w="1187" w:type="dxa"/>
          </w:tcPr>
          <w:p>
            <w:pPr>
              <w:pStyle w:val="75"/>
            </w:pPr>
            <w:r>
              <w:t>8</w:t>
            </w:r>
          </w:p>
        </w:tc>
        <w:tc>
          <w:tcPr>
            <w:tcW w:w="1187" w:type="dxa"/>
            <w:tcBorders>
              <w:top w:val="single" w:color="auto" w:sz="2" w:space="0"/>
              <w:left w:val="single" w:color="auto" w:sz="2" w:space="0"/>
              <w:right w:val="single" w:color="auto" w:sz="2" w:space="0"/>
            </w:tcBorders>
          </w:tcPr>
          <w:p/>
        </w:tc>
        <w:tc>
          <w:tcPr>
            <w:tcW w:w="1187" w:type="dxa"/>
            <w:tcBorders>
              <w:top w:val="single" w:color="auto" w:sz="2" w:space="0"/>
              <w:left w:val="single" w:color="auto" w:sz="2" w:space="0"/>
              <w:right w:val="single" w:color="auto" w:sz="2" w:space="0"/>
            </w:tcBorders>
          </w:tcPr>
          <w:p/>
        </w:tc>
        <w:tc>
          <w:tcPr>
            <w:tcW w:w="1187" w:type="dxa"/>
            <w:tcBorders>
              <w:top w:val="single" w:color="auto" w:sz="2" w:space="0"/>
              <w:left w:val="single" w:color="auto" w:sz="2" w:space="0"/>
              <w:right w:val="single" w:color="auto" w:sz="2" w:space="0"/>
            </w:tcBorders>
          </w:tcPr>
          <w:p/>
        </w:tc>
        <w:tc>
          <w:tcPr>
            <w:tcW w:w="1187" w:type="dxa"/>
            <w:tcBorders>
              <w:top w:val="single" w:color="auto" w:sz="2" w:space="0"/>
              <w:left w:val="single" w:color="auto" w:sz="2" w:space="0"/>
              <w:right w:val="single" w:color="auto" w:sz="2" w:space="0"/>
            </w:tcBorders>
          </w:tcPr>
          <w:p/>
        </w:tc>
        <w:tc>
          <w:tcPr>
            <w:tcW w:w="1187" w:type="dxa"/>
          </w:tcP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c>
          <w:tcPr>
            <w:tcW w:w="1187" w:type="dxa"/>
          </w:tcPr>
          <w:p>
            <w:pPr>
              <w:pStyle w:val="75"/>
            </w:pPr>
            <w:r>
              <w:t>9</w:t>
            </w:r>
          </w:p>
        </w:tc>
        <w:tc>
          <w:tcPr>
            <w:tcW w:w="1187" w:type="dxa"/>
            <w:tcBorders>
              <w:top w:val="single" w:color="auto" w:sz="2" w:space="0"/>
              <w:left w:val="single" w:color="auto" w:sz="2" w:space="0"/>
              <w:right w:val="single" w:color="auto" w:sz="2" w:space="0"/>
            </w:tcBorders>
          </w:tcPr>
          <w:p/>
        </w:tc>
        <w:tc>
          <w:tcPr>
            <w:tcW w:w="1187" w:type="dxa"/>
            <w:tcBorders>
              <w:top w:val="single" w:color="auto" w:sz="2" w:space="0"/>
              <w:left w:val="single" w:color="auto" w:sz="2" w:space="0"/>
              <w:right w:val="single" w:color="auto" w:sz="2" w:space="0"/>
            </w:tcBorders>
          </w:tcPr>
          <w:p/>
        </w:tc>
        <w:tc>
          <w:tcPr>
            <w:tcW w:w="1187" w:type="dxa"/>
            <w:tcBorders>
              <w:top w:val="single" w:color="auto" w:sz="2" w:space="0"/>
              <w:left w:val="single" w:color="auto" w:sz="2" w:space="0"/>
              <w:right w:val="single" w:color="auto" w:sz="2" w:space="0"/>
            </w:tcBorders>
          </w:tcPr>
          <w:p/>
        </w:tc>
        <w:tc>
          <w:tcPr>
            <w:tcW w:w="1187" w:type="dxa"/>
            <w:tcBorders>
              <w:top w:val="single" w:color="auto" w:sz="2" w:space="0"/>
              <w:left w:val="single" w:color="auto" w:sz="2" w:space="0"/>
              <w:right w:val="single" w:color="auto" w:sz="2" w:space="0"/>
            </w:tcBorders>
          </w:tcPr>
          <w:p/>
        </w:tc>
        <w:tc>
          <w:tcPr>
            <w:tcW w:w="1187" w:type="dxa"/>
          </w:tcP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c>
          <w:tcPr>
            <w:tcW w:w="1187" w:type="dxa"/>
          </w:tcPr>
          <w:p>
            <w:pPr>
              <w:pStyle w:val="75"/>
            </w:pPr>
            <w:r>
              <w:t xml:space="preserve"> ……</w:t>
            </w:r>
          </w:p>
        </w:tc>
        <w:tc>
          <w:tcPr>
            <w:tcW w:w="1187" w:type="dxa"/>
            <w:tcBorders>
              <w:top w:val="single" w:color="auto" w:sz="2" w:space="0"/>
              <w:left w:val="single" w:color="auto" w:sz="2" w:space="0"/>
              <w:right w:val="single" w:color="auto" w:sz="2" w:space="0"/>
            </w:tcBorders>
          </w:tcPr>
          <w:p/>
        </w:tc>
        <w:tc>
          <w:tcPr>
            <w:tcW w:w="1187" w:type="dxa"/>
            <w:tcBorders>
              <w:top w:val="single" w:color="auto" w:sz="2" w:space="0"/>
              <w:left w:val="single" w:color="auto" w:sz="2" w:space="0"/>
              <w:right w:val="single" w:color="auto" w:sz="2" w:space="0"/>
            </w:tcBorders>
          </w:tcPr>
          <w:p/>
        </w:tc>
        <w:tc>
          <w:tcPr>
            <w:tcW w:w="1187" w:type="dxa"/>
            <w:tcBorders>
              <w:top w:val="single" w:color="auto" w:sz="2" w:space="0"/>
              <w:left w:val="single" w:color="auto" w:sz="2" w:space="0"/>
              <w:right w:val="single" w:color="auto" w:sz="2" w:space="0"/>
            </w:tcBorders>
          </w:tcPr>
          <w:p/>
        </w:tc>
        <w:tc>
          <w:tcPr>
            <w:tcW w:w="1187" w:type="dxa"/>
            <w:tcBorders>
              <w:top w:val="single" w:color="auto" w:sz="2" w:space="0"/>
              <w:left w:val="single" w:color="auto" w:sz="2" w:space="0"/>
              <w:right w:val="single" w:color="auto" w:sz="2" w:space="0"/>
            </w:tcBorders>
          </w:tcPr>
          <w:p/>
        </w:tc>
        <w:tc>
          <w:tcPr>
            <w:tcW w:w="1187" w:type="dxa"/>
          </w:tcPr>
          <w:p/>
        </w:tc>
      </w:tr>
    </w:tbl>
    <w:p>
      <w:pPr>
        <w:pStyle w:val="75"/>
        <w:ind w:firstLine="480"/>
      </w:pPr>
      <w:r>
        <w:t>说明：</w:t>
      </w:r>
    </w:p>
    <w:p>
      <w:pPr>
        <w:pStyle w:val="75"/>
        <w:ind w:firstLine="480"/>
      </w:pPr>
      <w:r>
        <w:t>1. “采购文件规定的商务条件”项下填写的内容应与招标文件中采购需求的商务要求内容保持一致。</w:t>
      </w:r>
      <w:r>
        <w:rPr>
          <w:rFonts w:hint="eastAsia"/>
        </w:rPr>
        <w:t>商务条件包含交货期、交货地点、验收方式、付款方式。</w:t>
      </w:r>
    </w:p>
    <w:p>
      <w:pPr>
        <w:pStyle w:val="75"/>
        <w:ind w:firstLine="480"/>
      </w:pPr>
      <w:r>
        <w:t>2. 投标人应当如实填写上表“投标文件响应的具体内容”处内容，对采购文件规定的商务条件作出明确响应，并列明具体响应数值或内容，只注明符合、满足等无具体内容表述或照搬照抄采购文件参数、不注明实际数值者 的，将视为未实质性满足招标文件要求。投标人需要说明的内容若需特殊表达，应先在本表中进行相应说明，再另页应答，否则投标无效。</w:t>
      </w:r>
    </w:p>
    <w:p>
      <w:pPr>
        <w:pStyle w:val="75"/>
        <w:ind w:firstLine="480"/>
      </w:pPr>
      <w:r>
        <w:t>3.“是否偏离”项下应按下列规定填写：优于的，填写“正偏离”；符合的，填写“无偏离”；低于的，填写“负偏离”。“备注”处可填写偏离情况的说明。</w:t>
      </w:r>
    </w:p>
    <w:p>
      <w:pPr>
        <w:pStyle w:val="75"/>
        <w:ind w:firstLine="480"/>
      </w:pPr>
    </w:p>
    <w:p>
      <w:pPr>
        <w:pStyle w:val="75"/>
        <w:outlineLvl w:val="2"/>
      </w:pPr>
      <w:r>
        <w:rPr>
          <w:b/>
          <w:sz w:val="28"/>
        </w:rPr>
        <w:t>格式十</w:t>
      </w:r>
      <w:r>
        <w:rPr>
          <w:rFonts w:hint="eastAsia"/>
          <w:b/>
          <w:sz w:val="28"/>
        </w:rPr>
        <w:t>六</w:t>
      </w:r>
      <w:r>
        <w:rPr>
          <w:b/>
          <w:sz w:val="28"/>
        </w:rPr>
        <w:t>：</w:t>
      </w:r>
    </w:p>
    <w:p>
      <w:pPr>
        <w:pStyle w:val="75"/>
        <w:ind w:firstLine="480"/>
      </w:pPr>
      <w:r>
        <w:t>（以下格式文件由供应商根据需要选用）</w:t>
      </w:r>
    </w:p>
    <w:p>
      <w:pPr>
        <w:pStyle w:val="75"/>
        <w:jc w:val="center"/>
        <w:outlineLvl w:val="3"/>
      </w:pPr>
      <w:r>
        <w:rPr>
          <w:b/>
          <w:sz w:val="24"/>
        </w:rPr>
        <w:t>履约进度计划表</w:t>
      </w:r>
    </w:p>
    <w:tbl>
      <w:tblPr>
        <w:tblStyle w:val="31"/>
        <w:tblW w:w="0" w:type="auto"/>
        <w:tblInd w:w="0" w:type="dxa"/>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Layout w:type="autofit"/>
        <w:tblCellMar>
          <w:top w:w="0" w:type="dxa"/>
          <w:left w:w="108" w:type="dxa"/>
          <w:bottom w:w="0" w:type="dxa"/>
          <w:right w:w="108" w:type="dxa"/>
        </w:tblCellMar>
      </w:tblPr>
      <w:tblGrid>
        <w:gridCol w:w="2076"/>
        <w:gridCol w:w="2076"/>
        <w:gridCol w:w="2076"/>
        <w:gridCol w:w="2076"/>
      </w:tblGrid>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c>
          <w:tcPr>
            <w:tcW w:w="2076" w:type="dxa"/>
          </w:tcPr>
          <w:p>
            <w:pPr>
              <w:pStyle w:val="75"/>
            </w:pPr>
            <w:r>
              <w:t>序号</w:t>
            </w:r>
          </w:p>
        </w:tc>
        <w:tc>
          <w:tcPr>
            <w:tcW w:w="2076" w:type="dxa"/>
          </w:tcPr>
          <w:p>
            <w:pPr>
              <w:pStyle w:val="75"/>
            </w:pPr>
            <w:r>
              <w:t xml:space="preserve"> 拟定时间安排</w:t>
            </w:r>
          </w:p>
        </w:tc>
        <w:tc>
          <w:tcPr>
            <w:tcW w:w="2076" w:type="dxa"/>
          </w:tcPr>
          <w:p>
            <w:pPr>
              <w:pStyle w:val="75"/>
            </w:pPr>
            <w:r>
              <w:t xml:space="preserve"> 计划完成的工作内容</w:t>
            </w:r>
          </w:p>
        </w:tc>
        <w:tc>
          <w:tcPr>
            <w:tcW w:w="2076" w:type="dxa"/>
          </w:tcPr>
          <w:p>
            <w:pPr>
              <w:pStyle w:val="75"/>
            </w:pPr>
            <w:r>
              <w:t xml:space="preserve"> 实施方建议或要求</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c>
          <w:tcPr>
            <w:tcW w:w="2076" w:type="dxa"/>
          </w:tcPr>
          <w:p>
            <w:pPr>
              <w:pStyle w:val="75"/>
            </w:pPr>
            <w:r>
              <w:t xml:space="preserve"> 1</w:t>
            </w:r>
          </w:p>
        </w:tc>
        <w:tc>
          <w:tcPr>
            <w:tcW w:w="2076" w:type="dxa"/>
            <w:tcBorders>
              <w:top w:val="single" w:color="auto" w:sz="2" w:space="0"/>
              <w:left w:val="single" w:color="auto" w:sz="2" w:space="0"/>
              <w:right w:val="single" w:color="auto" w:sz="2" w:space="0"/>
            </w:tcBorders>
          </w:tcPr>
          <w:p>
            <w:pPr>
              <w:pStyle w:val="75"/>
            </w:pPr>
            <w:r>
              <w:t xml:space="preserve"> 拟定___年___月___日</w:t>
            </w:r>
          </w:p>
        </w:tc>
        <w:tc>
          <w:tcPr>
            <w:tcW w:w="2076" w:type="dxa"/>
            <w:tcBorders>
              <w:top w:val="single" w:color="auto" w:sz="2" w:space="0"/>
              <w:left w:val="single" w:color="auto" w:sz="2" w:space="0"/>
              <w:right w:val="single" w:color="auto" w:sz="2" w:space="0"/>
            </w:tcBorders>
          </w:tcPr>
          <w:p>
            <w:pPr>
              <w:pStyle w:val="75"/>
            </w:pPr>
            <w:r>
              <w:t xml:space="preserve"> 签定合同并生效</w:t>
            </w:r>
          </w:p>
        </w:tc>
        <w:tc>
          <w:tcPr>
            <w:tcW w:w="2076" w:type="dxa"/>
          </w:tcP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c>
          <w:tcPr>
            <w:tcW w:w="2076" w:type="dxa"/>
          </w:tcPr>
          <w:p>
            <w:pPr>
              <w:pStyle w:val="75"/>
            </w:pPr>
            <w:r>
              <w:t xml:space="preserve"> 2</w:t>
            </w:r>
          </w:p>
        </w:tc>
        <w:tc>
          <w:tcPr>
            <w:tcW w:w="2076" w:type="dxa"/>
            <w:tcBorders>
              <w:top w:val="single" w:color="auto" w:sz="2" w:space="0"/>
              <w:left w:val="single" w:color="auto" w:sz="2" w:space="0"/>
              <w:right w:val="single" w:color="auto" w:sz="2" w:space="0"/>
            </w:tcBorders>
          </w:tcPr>
          <w:p>
            <w:pPr>
              <w:pStyle w:val="75"/>
            </w:pPr>
            <w:r>
              <w:t xml:space="preserve"> ___月___日—___月___日</w:t>
            </w:r>
          </w:p>
        </w:tc>
        <w:tc>
          <w:tcPr>
            <w:tcW w:w="2076" w:type="dxa"/>
            <w:tcBorders>
              <w:top w:val="single" w:color="auto" w:sz="2" w:space="0"/>
              <w:left w:val="single" w:color="auto" w:sz="2" w:space="0"/>
              <w:right w:val="single" w:color="auto" w:sz="2" w:space="0"/>
            </w:tcBorders>
          </w:tcPr>
          <w:p/>
        </w:tc>
        <w:tc>
          <w:tcPr>
            <w:tcW w:w="2076" w:type="dxa"/>
          </w:tcP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c>
          <w:tcPr>
            <w:tcW w:w="2076" w:type="dxa"/>
          </w:tcPr>
          <w:p>
            <w:pPr>
              <w:pStyle w:val="75"/>
            </w:pPr>
            <w:r>
              <w:t xml:space="preserve"> 3</w:t>
            </w:r>
          </w:p>
        </w:tc>
        <w:tc>
          <w:tcPr>
            <w:tcW w:w="2076" w:type="dxa"/>
            <w:tcBorders>
              <w:top w:val="single" w:color="auto" w:sz="2" w:space="0"/>
              <w:left w:val="single" w:color="auto" w:sz="2" w:space="0"/>
              <w:right w:val="single" w:color="auto" w:sz="2" w:space="0"/>
            </w:tcBorders>
          </w:tcPr>
          <w:p>
            <w:pPr>
              <w:pStyle w:val="75"/>
            </w:pPr>
            <w:r>
              <w:t xml:space="preserve"> ___月___日—___月___日</w:t>
            </w:r>
          </w:p>
        </w:tc>
        <w:tc>
          <w:tcPr>
            <w:tcW w:w="2076" w:type="dxa"/>
            <w:tcBorders>
              <w:top w:val="single" w:color="auto" w:sz="2" w:space="0"/>
              <w:left w:val="single" w:color="auto" w:sz="2" w:space="0"/>
              <w:right w:val="single" w:color="auto" w:sz="2" w:space="0"/>
            </w:tcBorders>
          </w:tcPr>
          <w:p/>
        </w:tc>
        <w:tc>
          <w:tcPr>
            <w:tcW w:w="2076" w:type="dxa"/>
          </w:tcP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c>
          <w:tcPr>
            <w:tcW w:w="2076" w:type="dxa"/>
          </w:tcPr>
          <w:p>
            <w:pPr>
              <w:pStyle w:val="75"/>
            </w:pPr>
            <w:r>
              <w:t xml:space="preserve"> 4</w:t>
            </w:r>
          </w:p>
        </w:tc>
        <w:tc>
          <w:tcPr>
            <w:tcW w:w="2076" w:type="dxa"/>
            <w:tcBorders>
              <w:top w:val="single" w:color="auto" w:sz="2" w:space="0"/>
              <w:left w:val="single" w:color="auto" w:sz="2" w:space="0"/>
              <w:right w:val="single" w:color="auto" w:sz="2" w:space="0"/>
            </w:tcBorders>
          </w:tcPr>
          <w:p>
            <w:pPr>
              <w:pStyle w:val="75"/>
            </w:pPr>
            <w:r>
              <w:t xml:space="preserve"> ___月___日—___月___日</w:t>
            </w:r>
          </w:p>
        </w:tc>
        <w:tc>
          <w:tcPr>
            <w:tcW w:w="2076" w:type="dxa"/>
            <w:tcBorders>
              <w:top w:val="single" w:color="auto" w:sz="2" w:space="0"/>
              <w:left w:val="single" w:color="auto" w:sz="2" w:space="0"/>
              <w:right w:val="single" w:color="auto" w:sz="2" w:space="0"/>
            </w:tcBorders>
          </w:tcPr>
          <w:p>
            <w:pPr>
              <w:pStyle w:val="75"/>
            </w:pPr>
            <w:r>
              <w:t xml:space="preserve"> 质保期</w:t>
            </w:r>
          </w:p>
        </w:tc>
        <w:tc>
          <w:tcPr>
            <w:tcW w:w="2076" w:type="dxa"/>
          </w:tcPr>
          <w:p/>
        </w:tc>
      </w:tr>
    </w:tbl>
    <w:p>
      <w:pPr>
        <w:pStyle w:val="75"/>
        <w:ind w:firstLine="480"/>
      </w:pPr>
    </w:p>
    <w:p>
      <w:pPr>
        <w:pStyle w:val="75"/>
        <w:outlineLvl w:val="2"/>
      </w:pPr>
      <w:r>
        <w:rPr>
          <w:b/>
          <w:sz w:val="28"/>
        </w:rPr>
        <w:t>格式十</w:t>
      </w:r>
      <w:r>
        <w:rPr>
          <w:rFonts w:hint="eastAsia"/>
          <w:b/>
          <w:sz w:val="28"/>
        </w:rPr>
        <w:t>七</w:t>
      </w:r>
      <w:r>
        <w:rPr>
          <w:b/>
          <w:sz w:val="28"/>
        </w:rPr>
        <w:t>：</w:t>
      </w:r>
    </w:p>
    <w:p>
      <w:pPr>
        <w:pStyle w:val="75"/>
        <w:ind w:firstLine="480"/>
      </w:pPr>
      <w:r>
        <w:t>（以下格式文件由供应商根据需要选用）</w:t>
      </w:r>
    </w:p>
    <w:p>
      <w:pPr>
        <w:pStyle w:val="75"/>
        <w:jc w:val="center"/>
        <w:outlineLvl w:val="3"/>
      </w:pPr>
      <w:r>
        <w:rPr>
          <w:b/>
          <w:sz w:val="24"/>
        </w:rPr>
        <w:t>各类证明材料</w:t>
      </w:r>
    </w:p>
    <w:p>
      <w:pPr>
        <w:pStyle w:val="75"/>
        <w:ind w:firstLine="480"/>
      </w:pPr>
      <w:r>
        <w:t>1.招标文件要求提供的其他资料。</w:t>
      </w:r>
    </w:p>
    <w:p>
      <w:pPr>
        <w:pStyle w:val="75"/>
        <w:ind w:firstLine="480"/>
      </w:pPr>
      <w:r>
        <w:t>2.投标人认为需提供的其他资料。</w:t>
      </w:r>
    </w:p>
    <w:p>
      <w:pPr>
        <w:pStyle w:val="75"/>
        <w:ind w:firstLine="480"/>
      </w:pPr>
    </w:p>
    <w:p>
      <w:pPr>
        <w:pStyle w:val="75"/>
        <w:outlineLvl w:val="2"/>
      </w:pPr>
      <w:r>
        <w:rPr>
          <w:b/>
          <w:sz w:val="28"/>
        </w:rPr>
        <w:t>格式</w:t>
      </w:r>
      <w:r>
        <w:rPr>
          <w:rFonts w:hint="eastAsia"/>
          <w:b/>
          <w:sz w:val="28"/>
        </w:rPr>
        <w:t>十八</w:t>
      </w:r>
      <w:r>
        <w:rPr>
          <w:b/>
          <w:sz w:val="28"/>
        </w:rPr>
        <w:t>：</w:t>
      </w:r>
    </w:p>
    <w:p>
      <w:pPr>
        <w:pStyle w:val="75"/>
        <w:jc w:val="center"/>
        <w:outlineLvl w:val="3"/>
      </w:pPr>
      <w:r>
        <w:rPr>
          <w:b/>
          <w:sz w:val="24"/>
        </w:rPr>
        <w:t>采购代理服务费支付承诺书</w:t>
      </w:r>
    </w:p>
    <w:p>
      <w:pPr>
        <w:pStyle w:val="75"/>
        <w:ind w:firstLine="480"/>
      </w:pPr>
      <w:r>
        <w:t>致：广州市政府采购中心</w:t>
      </w:r>
    </w:p>
    <w:p>
      <w:pPr>
        <w:pStyle w:val="75"/>
        <w:ind w:firstLine="480"/>
      </w:pPr>
      <w:r>
        <w:t xml:space="preserve"> 如果我方在贵采购代理机构组织的</w:t>
      </w:r>
      <w:r>
        <w:rPr>
          <w:rFonts w:hint="eastAsia"/>
        </w:rPr>
        <w:t>广州海关食堂食材配送服务</w:t>
      </w:r>
      <w:r>
        <w:t xml:space="preserve">招标中获中标（采购项目编号： </w:t>
      </w:r>
      <w:r>
        <w:rPr>
          <w:rFonts w:hint="eastAsia"/>
          <w:lang w:eastAsia="zh-CN"/>
        </w:rPr>
        <w:t>QCZ2026-0010</w:t>
      </w:r>
      <w:r>
        <w:t>），我方保证在收取《中标通知书》时，按招标文件对代理服务费支付方式的约定，承担本项目代理服务费。</w:t>
      </w:r>
    </w:p>
    <w:p>
      <w:pPr>
        <w:pStyle w:val="75"/>
        <w:ind w:firstLine="480"/>
      </w:pPr>
      <w:r>
        <w:t xml:space="preserve"> 我方如违约，愿凭贵单位开出的违约通知，从我方提交的投标保证金中支付；以投标担保函（或保险保函）方式提交投标保证金时，同意和要求投标担保函开立银行或担保机构、保险保函开立的保险机构应广州市政府采购中心的要求办理支付手续。</w:t>
      </w:r>
    </w:p>
    <w:p>
      <w:pPr>
        <w:pStyle w:val="75"/>
        <w:ind w:firstLine="480"/>
      </w:pPr>
      <w:r>
        <w:t>特此承诺！</w:t>
      </w:r>
    </w:p>
    <w:p>
      <w:pPr>
        <w:pStyle w:val="75"/>
      </w:pPr>
      <w:r>
        <w:t>投标人法定名称（公章）；_____________________</w:t>
      </w:r>
    </w:p>
    <w:p>
      <w:pPr>
        <w:pStyle w:val="75"/>
      </w:pPr>
      <w:r>
        <w:t>投标人法定地址：_____________________</w:t>
      </w:r>
    </w:p>
    <w:p>
      <w:pPr>
        <w:pStyle w:val="75"/>
      </w:pPr>
      <w:r>
        <w:t>投标人授权代表（签字或盖章）：_____________________</w:t>
      </w:r>
    </w:p>
    <w:p>
      <w:pPr>
        <w:pStyle w:val="75"/>
      </w:pPr>
      <w:r>
        <w:t>电 话：_____________________</w:t>
      </w:r>
    </w:p>
    <w:p>
      <w:pPr>
        <w:pStyle w:val="75"/>
      </w:pPr>
      <w:r>
        <w:t>传 真：_____________________</w:t>
      </w:r>
    </w:p>
    <w:p>
      <w:pPr>
        <w:pStyle w:val="75"/>
      </w:pPr>
      <w:r>
        <w:t>承诺日期：_____________________</w:t>
      </w:r>
    </w:p>
    <w:p>
      <w:pPr>
        <w:pStyle w:val="75"/>
        <w:ind w:firstLine="480"/>
      </w:pPr>
    </w:p>
    <w:p>
      <w:pPr>
        <w:pStyle w:val="75"/>
        <w:outlineLvl w:val="2"/>
      </w:pPr>
      <w:r>
        <w:rPr>
          <w:b/>
          <w:sz w:val="28"/>
        </w:rPr>
        <w:t>格式十</w:t>
      </w:r>
      <w:r>
        <w:rPr>
          <w:rFonts w:hint="eastAsia"/>
          <w:b/>
          <w:sz w:val="28"/>
        </w:rPr>
        <w:t>九</w:t>
      </w:r>
      <w:r>
        <w:rPr>
          <w:b/>
          <w:sz w:val="28"/>
        </w:rPr>
        <w:t>：</w:t>
      </w:r>
    </w:p>
    <w:p>
      <w:pPr>
        <w:pStyle w:val="75"/>
        <w:ind w:firstLine="480"/>
      </w:pPr>
      <w:r>
        <w:t>（以下格式文件由供应商根据需要选用）</w:t>
      </w:r>
    </w:p>
    <w:p>
      <w:pPr>
        <w:pStyle w:val="75"/>
        <w:jc w:val="center"/>
        <w:outlineLvl w:val="3"/>
      </w:pPr>
      <w:r>
        <w:rPr>
          <w:b/>
          <w:sz w:val="24"/>
        </w:rPr>
        <w:t>需要采购人提供的附加条件</w:t>
      </w:r>
    </w:p>
    <w:tbl>
      <w:tblPr>
        <w:tblStyle w:val="31"/>
        <w:tblW w:w="0" w:type="auto"/>
        <w:tblInd w:w="0" w:type="dxa"/>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Layout w:type="autofit"/>
        <w:tblCellMar>
          <w:top w:w="0" w:type="dxa"/>
          <w:left w:w="108" w:type="dxa"/>
          <w:bottom w:w="0" w:type="dxa"/>
          <w:right w:w="108" w:type="dxa"/>
        </w:tblCellMar>
      </w:tblPr>
      <w:tblGrid>
        <w:gridCol w:w="4153"/>
        <w:gridCol w:w="4153"/>
      </w:tblGrid>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c>
          <w:tcPr>
            <w:tcW w:w="4153" w:type="dxa"/>
          </w:tcPr>
          <w:p>
            <w:pPr>
              <w:pStyle w:val="75"/>
            </w:pPr>
            <w:r>
              <w:t>序号</w:t>
            </w:r>
          </w:p>
        </w:tc>
        <w:tc>
          <w:tcPr>
            <w:tcW w:w="4153" w:type="dxa"/>
          </w:tcPr>
          <w:p>
            <w:pPr>
              <w:pStyle w:val="75"/>
            </w:pPr>
            <w:r>
              <w:t>投标人需要采购人提供的附加条件</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c>
          <w:tcPr>
            <w:tcW w:w="4153" w:type="dxa"/>
          </w:tcPr>
          <w:p>
            <w:pPr>
              <w:pStyle w:val="75"/>
            </w:pPr>
            <w:r>
              <w:t xml:space="preserve"> 1</w:t>
            </w:r>
          </w:p>
        </w:tc>
        <w:tc>
          <w:tcPr>
            <w:tcW w:w="4153" w:type="dxa"/>
          </w:tcP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c>
          <w:tcPr>
            <w:tcW w:w="4153" w:type="dxa"/>
          </w:tcPr>
          <w:p>
            <w:pPr>
              <w:pStyle w:val="75"/>
            </w:pPr>
            <w:r>
              <w:t xml:space="preserve"> 2</w:t>
            </w:r>
          </w:p>
        </w:tc>
        <w:tc>
          <w:tcPr>
            <w:tcW w:w="4153" w:type="dxa"/>
          </w:tcP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c>
          <w:tcPr>
            <w:tcW w:w="4153" w:type="dxa"/>
          </w:tcPr>
          <w:p>
            <w:pPr>
              <w:pStyle w:val="75"/>
            </w:pPr>
            <w:r>
              <w:t xml:space="preserve"> 3</w:t>
            </w:r>
          </w:p>
        </w:tc>
        <w:tc>
          <w:tcPr>
            <w:tcW w:w="4153" w:type="dxa"/>
          </w:tcPr>
          <w:p/>
        </w:tc>
      </w:tr>
    </w:tbl>
    <w:p>
      <w:pPr>
        <w:pStyle w:val="75"/>
        <w:ind w:firstLine="480"/>
      </w:pPr>
      <w:r>
        <w:t>注：投标人完成本项目需要采购人配合或提供的条件必须在上表列出，否则将视为投标人同意按现有条件完成本项目。如上表所列附加条件含有采购人不能接受的，将被视为投标无效。</w:t>
      </w:r>
    </w:p>
    <w:p>
      <w:pPr>
        <w:pStyle w:val="75"/>
        <w:ind w:firstLine="480"/>
      </w:pPr>
    </w:p>
    <w:p>
      <w:pPr>
        <w:pStyle w:val="75"/>
        <w:outlineLvl w:val="2"/>
      </w:pPr>
      <w:r>
        <w:rPr>
          <w:b/>
          <w:sz w:val="28"/>
        </w:rPr>
        <w:t>格式二十：</w:t>
      </w:r>
    </w:p>
    <w:p>
      <w:pPr>
        <w:pStyle w:val="75"/>
        <w:ind w:firstLine="480"/>
      </w:pPr>
      <w:r>
        <w:t>（以下格式文件由供应商根据需要选用）</w:t>
      </w:r>
    </w:p>
    <w:p>
      <w:pPr>
        <w:pStyle w:val="75"/>
        <w:ind w:firstLine="480"/>
      </w:pPr>
      <w:r>
        <w:t>售后服务方案、包装、保险及</w:t>
      </w:r>
      <w:r>
        <w:rPr>
          <w:rFonts w:hint="eastAsia"/>
        </w:rPr>
        <w:t>运输</w:t>
      </w:r>
      <w:r>
        <w:t>方案等内容和格式自拟。</w:t>
      </w:r>
    </w:p>
    <w:p>
      <w:pPr>
        <w:pStyle w:val="75"/>
        <w:ind w:firstLine="480"/>
      </w:pPr>
    </w:p>
    <w:p>
      <w:pPr>
        <w:pStyle w:val="75"/>
        <w:ind w:firstLine="480"/>
      </w:pPr>
    </w:p>
    <w:p>
      <w:pPr>
        <w:pStyle w:val="75"/>
        <w:outlineLvl w:val="2"/>
      </w:pPr>
      <w:r>
        <w:rPr>
          <w:b/>
          <w:sz w:val="28"/>
        </w:rPr>
        <w:t>格式二十</w:t>
      </w:r>
      <w:r>
        <w:rPr>
          <w:rFonts w:hint="eastAsia"/>
          <w:b/>
          <w:sz w:val="28"/>
        </w:rPr>
        <w:t>一</w:t>
      </w:r>
      <w:r>
        <w:rPr>
          <w:b/>
          <w:sz w:val="28"/>
        </w:rPr>
        <w:t>：</w:t>
      </w:r>
    </w:p>
    <w:p>
      <w:pPr>
        <w:pStyle w:val="75"/>
        <w:jc w:val="center"/>
        <w:outlineLvl w:val="3"/>
        <w:rPr>
          <w:b/>
          <w:sz w:val="24"/>
        </w:rPr>
      </w:pPr>
      <w:r>
        <w:rPr>
          <w:b/>
          <w:sz w:val="24"/>
        </w:rPr>
        <w:t>政府采购履约担保函</w:t>
      </w:r>
      <w:r>
        <w:rPr>
          <w:rFonts w:hint="eastAsia"/>
          <w:b/>
          <w:sz w:val="24"/>
        </w:rPr>
        <w:t>（如需）</w:t>
      </w:r>
    </w:p>
    <w:p>
      <w:pPr>
        <w:pStyle w:val="75"/>
      </w:pPr>
      <w:r>
        <w:t>编号：</w:t>
      </w:r>
    </w:p>
    <w:p>
      <w:pPr>
        <w:pStyle w:val="75"/>
        <w:ind w:firstLine="480"/>
      </w:pPr>
      <w:r>
        <w:t>（采购人）：</w:t>
      </w:r>
    </w:p>
    <w:p>
      <w:pPr>
        <w:pStyle w:val="75"/>
        <w:ind w:firstLine="480"/>
      </w:pPr>
      <w:r>
        <w:t xml:space="preserve"> 鉴于贵方在__________项目（项目编号为__________以下简称“项目”）的采购中，确定__________为中标人/供应商，拟签订/已签订项目相关采购合同（以下简称“主合同”）。依据主合同的约定，供应商应向贵方交纳履约保证金，且可以履约担保函的形式交纳履约保证金。应供应商的申请，我方以保证的方式向贵方提供如下履约保证金担保：</w:t>
      </w:r>
    </w:p>
    <w:p>
      <w:pPr>
        <w:pStyle w:val="75"/>
        <w:ind w:firstLine="480"/>
      </w:pPr>
      <w:r>
        <w:t>一、保证金额</w:t>
      </w:r>
    </w:p>
    <w:p>
      <w:pPr>
        <w:pStyle w:val="75"/>
        <w:ind w:firstLine="480"/>
      </w:pPr>
      <w:r>
        <w:t>我方的保证范围是主合同约定的合同价款总额的___%，数额为__________（大写），币种为</w:t>
      </w:r>
      <w:r>
        <w:rPr>
          <w:u w:val="single"/>
        </w:rPr>
        <w:t>人民币</w:t>
      </w:r>
      <w:r>
        <w:t>（即主合同履约保证金金额）。</w:t>
      </w:r>
    </w:p>
    <w:p>
      <w:pPr>
        <w:pStyle w:val="75"/>
        <w:ind w:firstLine="480"/>
      </w:pPr>
      <w:r>
        <w:t>二、我方保证的方式为：连带责任保证。</w:t>
      </w:r>
    </w:p>
    <w:p>
      <w:pPr>
        <w:pStyle w:val="75"/>
        <w:ind w:firstLine="480"/>
      </w:pPr>
      <w:r>
        <w:t>三、我方保证的期间为：本保函自开立之日起生效，至 年 月 日止。</w:t>
      </w:r>
    </w:p>
    <w:p>
      <w:pPr>
        <w:pStyle w:val="75"/>
        <w:ind w:firstLine="480"/>
      </w:pPr>
      <w:r>
        <w:t>四、在本保函的有效期内，如被保证人违反上述合同或协议约定的义务，我方将在收到你方提交的本保函文件及符合下列全部条件的索赔通知后</w:t>
      </w:r>
      <w:r>
        <w:rPr>
          <w:u w:val="single"/>
        </w:rPr>
        <w:t xml:space="preserve"> 30 </w:t>
      </w:r>
      <w:r>
        <w:t>个工作日内以上述保证金额为限支付你方索赔金额:</w:t>
      </w:r>
    </w:p>
    <w:p>
      <w:pPr>
        <w:pStyle w:val="75"/>
        <w:ind w:firstLine="480"/>
      </w:pPr>
      <w:r>
        <w:t>(一)索赔通知文件必须以书面形式提出，列明索赔金额，并由你方法定代表人(负责人)或授权代理人签字并加盖公章;</w:t>
      </w:r>
    </w:p>
    <w:p>
      <w:pPr>
        <w:pStyle w:val="75"/>
        <w:ind w:firstLine="480"/>
      </w:pPr>
      <w:r>
        <w:t>(二)索赔通知文件必须同时附有:</w:t>
      </w:r>
    </w:p>
    <w:p>
      <w:pPr>
        <w:pStyle w:val="75"/>
        <w:ind w:firstLine="480"/>
      </w:pPr>
      <w:r>
        <w:t>1.一项书面声明，声明索赔款项并未由被保证人或其代理人直接或间接地支付给你方;</w:t>
      </w:r>
    </w:p>
    <w:p>
      <w:pPr>
        <w:pStyle w:val="75"/>
        <w:ind w:firstLine="480"/>
      </w:pPr>
      <w:r>
        <w:t>2.证明被保证人违反上述合同或协议约定的义务以及有责任支付你方索赔金额的证据。</w:t>
      </w:r>
    </w:p>
    <w:p>
      <w:pPr>
        <w:pStyle w:val="75"/>
        <w:ind w:firstLine="480"/>
      </w:pPr>
      <w:r>
        <w:t>(三)索赔通知文件必须在本保函有效期内到达以下地址：</w:t>
      </w:r>
    </w:p>
    <w:p>
      <w:pPr>
        <w:pStyle w:val="75"/>
        <w:ind w:firstLine="480"/>
      </w:pPr>
      <w:r>
        <w:t>__________________________________________________。</w:t>
      </w:r>
    </w:p>
    <w:p>
      <w:pPr>
        <w:pStyle w:val="75"/>
        <w:ind w:firstLine="480"/>
      </w:pPr>
      <w:r>
        <w:t>五、本保函保证金额将随被保证人逐步履行保函项下合同约定或法定的义务以及我方按你方索赔通知文件要求分次支付而相应递减。</w:t>
      </w:r>
    </w:p>
    <w:p>
      <w:pPr>
        <w:pStyle w:val="75"/>
        <w:ind w:firstLine="480"/>
      </w:pPr>
      <w:r>
        <w:t>六、本保函项下的权利不得转让，不得设定担保。受益人未经我方书面同意转让本保函或其项下任何权利，我方在本保函项下的义务与责任全部消灭。</w:t>
      </w:r>
    </w:p>
    <w:p>
      <w:pPr>
        <w:pStyle w:val="75"/>
        <w:ind w:firstLine="480"/>
      </w:pPr>
      <w:r>
        <w:t>七、本保函项下的合同或基础交易不成立、不生效、无效、被撤销、被解除，本保函无效;被保证人基于保函项下的合同或基础交易或其他原因的抗辩，我方均有权主张。</w:t>
      </w:r>
    </w:p>
    <w:p>
      <w:pPr>
        <w:pStyle w:val="75"/>
        <w:ind w:firstLine="480"/>
      </w:pPr>
      <w:r>
        <w:t>八、因本保函发生争议协商解决不成，按以下第</w:t>
      </w:r>
      <w:r>
        <w:rPr>
          <w:u w:val="single"/>
        </w:rPr>
        <w:t xml:space="preserve"> (一)</w:t>
      </w:r>
      <w:r>
        <w:t>种方式解决:</w:t>
      </w:r>
    </w:p>
    <w:p>
      <w:pPr>
        <w:pStyle w:val="75"/>
        <w:ind w:firstLine="480"/>
      </w:pPr>
      <w:r>
        <w:t>(一)向</w:t>
      </w:r>
      <w:r>
        <w:rPr>
          <w:rFonts w:hint="eastAsia"/>
        </w:rPr>
        <w:t>采购人</w:t>
      </w:r>
      <w:r>
        <w:t>所在地的人民法院起诉。</w:t>
      </w:r>
    </w:p>
    <w:p>
      <w:pPr>
        <w:pStyle w:val="75"/>
        <w:ind w:firstLine="480"/>
      </w:pPr>
      <w:r>
        <w:t>(二)提交</w:t>
      </w:r>
      <w:r>
        <w:rPr>
          <w:u w:val="single"/>
        </w:rPr>
        <w:t xml:space="preserve"> 此栏空白 </w:t>
      </w:r>
      <w:r>
        <w:t>仲裁委员会(仲裁地点为此栏空白)按照申请仲裁时该会现行有效的仲裁规则进行仲裁。仲裁裁决是终局的，对双方均有约束力。</w:t>
      </w:r>
    </w:p>
    <w:p>
      <w:pPr>
        <w:pStyle w:val="75"/>
        <w:ind w:firstLine="480"/>
      </w:pPr>
      <w:r>
        <w:t>九、本保函适用中华人民共和国法律。</w:t>
      </w:r>
    </w:p>
    <w:p>
      <w:pPr>
        <w:pStyle w:val="75"/>
        <w:ind w:firstLine="480"/>
      </w:pPr>
      <w:r>
        <w:t>十、其他条款:</w:t>
      </w:r>
    </w:p>
    <w:p>
      <w:pPr>
        <w:pStyle w:val="75"/>
        <w:ind w:firstLine="480"/>
      </w:pPr>
      <w:r>
        <w:t>1.本保函有效期届满或提前终止，本保函自动失效，我方在本保函项下的义务与责任自动全部消灭，此后提出的任何索赔均为无效索赔，我方无义务作出任何赔付。</w:t>
      </w:r>
    </w:p>
    <w:p>
      <w:pPr>
        <w:pStyle w:val="75"/>
        <w:ind w:firstLine="480"/>
      </w:pPr>
      <w:r>
        <w:t>2.所有索赔通知必须在我方工作时间内到达本保函规定的地址。</w:t>
      </w:r>
    </w:p>
    <w:p>
      <w:pPr>
        <w:pStyle w:val="75"/>
        <w:ind w:firstLine="480"/>
      </w:pPr>
      <w:r>
        <w:t>十一、本保函自我方盖章之日起生效。</w:t>
      </w:r>
    </w:p>
    <w:p>
      <w:pPr>
        <w:pStyle w:val="75"/>
      </w:pPr>
      <w:r>
        <w:t>保证人：___________(盖章)</w:t>
      </w:r>
    </w:p>
    <w:p>
      <w:pPr>
        <w:pStyle w:val="75"/>
      </w:pPr>
      <w:r>
        <w:t>联系地址：_______________</w:t>
      </w:r>
    </w:p>
    <w:p>
      <w:pPr>
        <w:pStyle w:val="75"/>
      </w:pPr>
      <w:r>
        <w:t>联系电话：_______________</w:t>
      </w:r>
    </w:p>
    <w:p>
      <w:pPr>
        <w:pStyle w:val="75"/>
      </w:pPr>
      <w:r>
        <w:t>开立日期：___年___月___日</w:t>
      </w:r>
    </w:p>
    <w:p>
      <w:pPr>
        <w:pStyle w:val="75"/>
        <w:outlineLvl w:val="2"/>
        <w:rPr>
          <w:b/>
          <w:sz w:val="28"/>
        </w:rPr>
      </w:pPr>
      <w:r>
        <w:rPr>
          <w:b/>
          <w:sz w:val="28"/>
        </w:rPr>
        <w:t>格式二十</w:t>
      </w:r>
      <w:r>
        <w:rPr>
          <w:rFonts w:hint="eastAsia"/>
          <w:b/>
          <w:sz w:val="28"/>
        </w:rPr>
        <w:t>二</w:t>
      </w:r>
      <w:r>
        <w:rPr>
          <w:b/>
          <w:sz w:val="28"/>
        </w:rPr>
        <w:t>：</w:t>
      </w:r>
      <w:r>
        <w:rPr>
          <w:rFonts w:hint="eastAsia"/>
          <w:b/>
          <w:sz w:val="28"/>
        </w:rPr>
        <w:t>初步审查自查表</w:t>
      </w:r>
    </w:p>
    <w:tbl>
      <w:tblPr>
        <w:tblStyle w:val="31"/>
        <w:tblW w:w="9137" w:type="dxa"/>
        <w:jc w:val="center"/>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
      <w:tblGrid>
        <w:gridCol w:w="1272"/>
        <w:gridCol w:w="5414"/>
        <w:gridCol w:w="2451"/>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39" w:hRule="atLeast"/>
          <w:jc w:val="center"/>
        </w:trPr>
        <w:tc>
          <w:tcPr>
            <w:tcW w:w="9137" w:type="dxa"/>
            <w:gridSpan w:val="3"/>
            <w:tcBorders>
              <w:top w:val="nil"/>
              <w:left w:val="nil"/>
              <w:bottom w:val="single" w:color="auto" w:sz="4" w:space="0"/>
            </w:tcBorders>
            <w:vAlign w:val="center"/>
          </w:tcPr>
          <w:p>
            <w:pPr>
              <w:ind w:left="16" w:hanging="16" w:hangingChars="6"/>
              <w:jc w:val="center"/>
              <w:rPr>
                <w:rFonts w:ascii="Times New Roman" w:hAnsi="Times New Roman"/>
                <w:bCs/>
                <w:sz w:val="28"/>
                <w:szCs w:val="28"/>
              </w:rPr>
            </w:pPr>
            <w:r>
              <w:rPr>
                <w:rFonts w:hint="eastAsia" w:ascii="Times New Roman" w:hAnsi="Times New Roman"/>
                <w:bCs/>
                <w:sz w:val="28"/>
              </w:rPr>
              <w:t>初步审查自查表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567" w:hRule="atLeast"/>
          <w:jc w:val="center"/>
        </w:trPr>
        <w:tc>
          <w:tcPr>
            <w:tcW w:w="1272" w:type="dxa"/>
            <w:tcBorders>
              <w:top w:val="single" w:color="auto" w:sz="4" w:space="0"/>
              <w:left w:val="single" w:color="auto" w:sz="4" w:space="0"/>
              <w:bottom w:val="single" w:color="auto" w:sz="4" w:space="0"/>
              <w:right w:val="single" w:color="auto" w:sz="4" w:space="0"/>
            </w:tcBorders>
            <w:vAlign w:val="center"/>
          </w:tcPr>
          <w:p>
            <w:pPr>
              <w:jc w:val="center"/>
              <w:rPr>
                <w:rFonts w:ascii="Times New Roman" w:hAnsi="Times New Roman"/>
                <w:bCs/>
                <w:szCs w:val="21"/>
              </w:rPr>
            </w:pPr>
            <w:r>
              <w:rPr>
                <w:rFonts w:ascii="Times New Roman" w:hAnsi="Times New Roman"/>
                <w:bCs/>
                <w:szCs w:val="21"/>
              </w:rPr>
              <w:t>评审内容</w:t>
            </w:r>
          </w:p>
        </w:tc>
        <w:tc>
          <w:tcPr>
            <w:tcW w:w="5414" w:type="dxa"/>
            <w:tcBorders>
              <w:top w:val="single" w:color="auto" w:sz="4" w:space="0"/>
              <w:left w:val="single" w:color="auto" w:sz="4" w:space="0"/>
              <w:bottom w:val="single" w:color="auto" w:sz="4" w:space="0"/>
              <w:right w:val="single" w:color="auto" w:sz="4" w:space="0"/>
            </w:tcBorders>
            <w:vAlign w:val="center"/>
          </w:tcPr>
          <w:p>
            <w:pPr>
              <w:ind w:left="46" w:leftChars="19"/>
              <w:jc w:val="center"/>
              <w:rPr>
                <w:rFonts w:ascii="Times New Roman" w:hAnsi="Times New Roman"/>
                <w:szCs w:val="21"/>
              </w:rPr>
            </w:pPr>
            <w:r>
              <w:rPr>
                <w:rFonts w:ascii="Times New Roman" w:hAnsi="Times New Roman"/>
                <w:bCs/>
                <w:szCs w:val="21"/>
              </w:rPr>
              <w:t>招标文件要求</w:t>
            </w:r>
          </w:p>
          <w:p>
            <w:pPr>
              <w:ind w:left="-171"/>
              <w:jc w:val="center"/>
              <w:rPr>
                <w:rFonts w:ascii="Times New Roman" w:hAnsi="Times New Roman"/>
                <w:bCs/>
                <w:szCs w:val="21"/>
              </w:rPr>
            </w:pPr>
            <w:r>
              <w:rPr>
                <w:rFonts w:ascii="Times New Roman" w:hAnsi="Times New Roman"/>
                <w:szCs w:val="21"/>
              </w:rPr>
              <w:t>（详见《评标办法前附表》各项）</w:t>
            </w:r>
          </w:p>
        </w:tc>
        <w:tc>
          <w:tcPr>
            <w:tcW w:w="2451" w:type="dxa"/>
            <w:tcBorders>
              <w:top w:val="single" w:color="auto" w:sz="4" w:space="0"/>
              <w:left w:val="single" w:color="auto" w:sz="4" w:space="0"/>
              <w:bottom w:val="single" w:color="auto" w:sz="4" w:space="0"/>
              <w:right w:val="single" w:color="auto" w:sz="4" w:space="0"/>
            </w:tcBorders>
            <w:vAlign w:val="center"/>
          </w:tcPr>
          <w:p>
            <w:pPr>
              <w:ind w:left="-171"/>
              <w:jc w:val="center"/>
              <w:rPr>
                <w:rFonts w:ascii="Times New Roman" w:hAnsi="Times New Roman"/>
                <w:bCs/>
                <w:szCs w:val="21"/>
              </w:rPr>
            </w:pPr>
            <w:r>
              <w:rPr>
                <w:rFonts w:ascii="Times New Roman" w:hAnsi="Times New Roman"/>
                <w:bCs/>
                <w:szCs w:val="21"/>
              </w:rPr>
              <w:t>自查结论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813" w:hRule="atLeast"/>
          <w:jc w:val="center"/>
        </w:trPr>
        <w:tc>
          <w:tcPr>
            <w:tcW w:w="1272" w:type="dxa"/>
            <w:tcBorders>
              <w:top w:val="single" w:color="auto" w:sz="4" w:space="0"/>
              <w:left w:val="single" w:color="auto" w:sz="4" w:space="0"/>
              <w:bottom w:val="single" w:color="auto" w:sz="4" w:space="0"/>
              <w:right w:val="single" w:color="auto" w:sz="4" w:space="0"/>
            </w:tcBorders>
            <w:vAlign w:val="center"/>
          </w:tcPr>
          <w:p>
            <w:pPr>
              <w:ind w:left="46" w:leftChars="19"/>
              <w:jc w:val="center"/>
              <w:rPr>
                <w:rFonts w:ascii="Times New Roman" w:hAnsi="Times New Roman"/>
              </w:rPr>
            </w:pPr>
            <w:r>
              <w:rPr>
                <w:rFonts w:ascii="Times New Roman" w:hAnsi="Times New Roman"/>
              </w:rPr>
              <w:t>1</w:t>
            </w:r>
          </w:p>
        </w:tc>
        <w:tc>
          <w:tcPr>
            <w:tcW w:w="5414" w:type="dxa"/>
            <w:tcBorders>
              <w:top w:val="single" w:color="auto" w:sz="4" w:space="0"/>
              <w:left w:val="single" w:color="auto" w:sz="4" w:space="0"/>
              <w:bottom w:val="single" w:color="auto" w:sz="4" w:space="0"/>
              <w:right w:val="single" w:color="auto" w:sz="4" w:space="0"/>
            </w:tcBorders>
            <w:vAlign w:val="center"/>
          </w:tcPr>
          <w:p>
            <w:pPr>
              <w:ind w:left="46" w:leftChars="19"/>
              <w:rPr>
                <w:rFonts w:ascii="Times New Roman" w:hAnsi="Times New Roman"/>
              </w:rPr>
            </w:pPr>
            <w:r>
              <w:rPr>
                <w:rFonts w:hint="eastAsia" w:ascii="Times New Roman" w:hAnsi="Times New Roman"/>
              </w:rPr>
              <w:t>投标人名称</w:t>
            </w:r>
          </w:p>
        </w:tc>
        <w:tc>
          <w:tcPr>
            <w:tcW w:w="2451" w:type="dxa"/>
            <w:tcBorders>
              <w:top w:val="single" w:color="auto" w:sz="4" w:space="0"/>
              <w:left w:val="single" w:color="auto" w:sz="4" w:space="0"/>
              <w:bottom w:val="single" w:color="auto" w:sz="4" w:space="0"/>
              <w:right w:val="single" w:color="auto" w:sz="4" w:space="0"/>
            </w:tcBorders>
            <w:vAlign w:val="center"/>
          </w:tcPr>
          <w:p>
            <w:pPr>
              <w:ind w:left="-171"/>
              <w:jc w:val="center"/>
              <w:rPr>
                <w:rFonts w:ascii="宋体"/>
                <w:szCs w:val="21"/>
              </w:rPr>
            </w:pPr>
            <w:r>
              <w:rPr>
                <w:rFonts w:ascii="宋体"/>
                <w:szCs w:val="21"/>
              </w:rPr>
              <w:t>□满足 □不满足</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813" w:hRule="atLeast"/>
          <w:jc w:val="center"/>
        </w:trPr>
        <w:tc>
          <w:tcPr>
            <w:tcW w:w="1272" w:type="dxa"/>
            <w:tcBorders>
              <w:top w:val="single" w:color="auto" w:sz="4" w:space="0"/>
              <w:left w:val="single" w:color="auto" w:sz="4" w:space="0"/>
              <w:bottom w:val="single" w:color="auto" w:sz="4" w:space="0"/>
              <w:right w:val="single" w:color="auto" w:sz="4" w:space="0"/>
            </w:tcBorders>
            <w:vAlign w:val="center"/>
          </w:tcPr>
          <w:p>
            <w:pPr>
              <w:ind w:left="46" w:leftChars="19"/>
              <w:jc w:val="center"/>
              <w:rPr>
                <w:rFonts w:ascii="Times New Roman" w:hAnsi="Times New Roman"/>
              </w:rPr>
            </w:pPr>
            <w:r>
              <w:rPr>
                <w:rFonts w:ascii="Times New Roman" w:hAnsi="Times New Roman"/>
              </w:rPr>
              <w:t>2</w:t>
            </w:r>
          </w:p>
        </w:tc>
        <w:tc>
          <w:tcPr>
            <w:tcW w:w="5414" w:type="dxa"/>
            <w:tcBorders>
              <w:top w:val="single" w:color="auto" w:sz="4" w:space="0"/>
              <w:left w:val="single" w:color="auto" w:sz="4" w:space="0"/>
              <w:bottom w:val="single" w:color="auto" w:sz="4" w:space="0"/>
              <w:right w:val="single" w:color="auto" w:sz="4" w:space="0"/>
            </w:tcBorders>
            <w:vAlign w:val="center"/>
          </w:tcPr>
          <w:p>
            <w:pPr>
              <w:ind w:left="46" w:leftChars="19"/>
              <w:rPr>
                <w:rFonts w:ascii="Times New Roman" w:hAnsi="Times New Roman"/>
              </w:rPr>
            </w:pPr>
            <w:r>
              <w:rPr>
                <w:rFonts w:hint="eastAsia" w:ascii="Times New Roman" w:hAnsi="Times New Roman"/>
              </w:rPr>
              <w:t>投标函签字盖章</w:t>
            </w:r>
          </w:p>
        </w:tc>
        <w:tc>
          <w:tcPr>
            <w:tcW w:w="2451" w:type="dxa"/>
            <w:tcBorders>
              <w:top w:val="single" w:color="auto" w:sz="4" w:space="0"/>
              <w:left w:val="single" w:color="auto" w:sz="4" w:space="0"/>
              <w:bottom w:val="single" w:color="auto" w:sz="4" w:space="0"/>
              <w:right w:val="single" w:color="auto" w:sz="4" w:space="0"/>
            </w:tcBorders>
            <w:vAlign w:val="center"/>
          </w:tcPr>
          <w:p>
            <w:pPr>
              <w:ind w:left="-171"/>
              <w:jc w:val="center"/>
              <w:rPr>
                <w:rFonts w:ascii="宋体"/>
                <w:szCs w:val="21"/>
              </w:rPr>
            </w:pPr>
            <w:r>
              <w:rPr>
                <w:rFonts w:ascii="宋体"/>
                <w:szCs w:val="21"/>
              </w:rPr>
              <w:t>□满足 □不满足</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813" w:hRule="atLeast"/>
          <w:jc w:val="center"/>
        </w:trPr>
        <w:tc>
          <w:tcPr>
            <w:tcW w:w="1272" w:type="dxa"/>
            <w:tcBorders>
              <w:top w:val="single" w:color="auto" w:sz="4" w:space="0"/>
              <w:left w:val="single" w:color="auto" w:sz="4" w:space="0"/>
              <w:bottom w:val="single" w:color="auto" w:sz="4" w:space="0"/>
              <w:right w:val="single" w:color="auto" w:sz="4" w:space="0"/>
            </w:tcBorders>
            <w:vAlign w:val="center"/>
          </w:tcPr>
          <w:p>
            <w:pPr>
              <w:ind w:left="46" w:leftChars="19"/>
              <w:jc w:val="center"/>
              <w:rPr>
                <w:rFonts w:ascii="Times New Roman" w:hAnsi="Times New Roman"/>
              </w:rPr>
            </w:pPr>
            <w:r>
              <w:rPr>
                <w:rFonts w:ascii="Times New Roman" w:hAnsi="Times New Roman"/>
              </w:rPr>
              <w:t>3</w:t>
            </w:r>
          </w:p>
        </w:tc>
        <w:tc>
          <w:tcPr>
            <w:tcW w:w="5414" w:type="dxa"/>
            <w:tcBorders>
              <w:top w:val="single" w:color="auto" w:sz="4" w:space="0"/>
              <w:left w:val="single" w:color="auto" w:sz="4" w:space="0"/>
              <w:bottom w:val="single" w:color="auto" w:sz="4" w:space="0"/>
              <w:right w:val="single" w:color="auto" w:sz="4" w:space="0"/>
            </w:tcBorders>
            <w:vAlign w:val="center"/>
          </w:tcPr>
          <w:p>
            <w:pPr>
              <w:ind w:left="46" w:leftChars="19"/>
              <w:rPr>
                <w:rFonts w:ascii="Times New Roman" w:hAnsi="Times New Roman"/>
              </w:rPr>
            </w:pPr>
            <w:r>
              <w:rPr>
                <w:rFonts w:hint="eastAsia" w:ascii="Times New Roman" w:hAnsi="Times New Roman"/>
              </w:rPr>
              <w:t>营业执照</w:t>
            </w:r>
          </w:p>
        </w:tc>
        <w:tc>
          <w:tcPr>
            <w:tcW w:w="2451" w:type="dxa"/>
            <w:tcBorders>
              <w:top w:val="single" w:color="auto" w:sz="4" w:space="0"/>
              <w:left w:val="single" w:color="auto" w:sz="4" w:space="0"/>
              <w:bottom w:val="single" w:color="auto" w:sz="4" w:space="0"/>
              <w:right w:val="single" w:color="auto" w:sz="4" w:space="0"/>
            </w:tcBorders>
            <w:vAlign w:val="center"/>
          </w:tcPr>
          <w:p>
            <w:pPr>
              <w:ind w:left="-171"/>
              <w:jc w:val="center"/>
              <w:rPr>
                <w:rFonts w:ascii="宋体"/>
                <w:szCs w:val="21"/>
              </w:rPr>
            </w:pPr>
            <w:r>
              <w:rPr>
                <w:rFonts w:ascii="宋体"/>
                <w:szCs w:val="21"/>
              </w:rPr>
              <w:t>□满足 □不满足</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813" w:hRule="atLeast"/>
          <w:jc w:val="center"/>
        </w:trPr>
        <w:tc>
          <w:tcPr>
            <w:tcW w:w="1272" w:type="dxa"/>
            <w:tcBorders>
              <w:top w:val="single" w:color="auto" w:sz="4" w:space="0"/>
              <w:left w:val="single" w:color="auto" w:sz="4" w:space="0"/>
              <w:bottom w:val="single" w:color="auto" w:sz="4" w:space="0"/>
              <w:right w:val="single" w:color="auto" w:sz="4" w:space="0"/>
            </w:tcBorders>
            <w:vAlign w:val="center"/>
          </w:tcPr>
          <w:p>
            <w:pPr>
              <w:ind w:left="46" w:leftChars="19"/>
              <w:jc w:val="center"/>
              <w:rPr>
                <w:rFonts w:ascii="Times New Roman" w:hAnsi="Times New Roman"/>
              </w:rPr>
            </w:pPr>
            <w:r>
              <w:rPr>
                <w:rFonts w:ascii="Times New Roman" w:hAnsi="Times New Roman"/>
              </w:rPr>
              <w:t>4</w:t>
            </w:r>
          </w:p>
        </w:tc>
        <w:tc>
          <w:tcPr>
            <w:tcW w:w="5414" w:type="dxa"/>
            <w:tcBorders>
              <w:top w:val="single" w:color="auto" w:sz="4" w:space="0"/>
              <w:left w:val="single" w:color="auto" w:sz="4" w:space="0"/>
              <w:bottom w:val="single" w:color="auto" w:sz="4" w:space="0"/>
              <w:right w:val="single" w:color="auto" w:sz="4" w:space="0"/>
            </w:tcBorders>
            <w:vAlign w:val="center"/>
          </w:tcPr>
          <w:p>
            <w:pPr>
              <w:ind w:left="46" w:leftChars="19"/>
              <w:rPr>
                <w:rFonts w:ascii="Times New Roman" w:hAnsi="Times New Roman"/>
              </w:rPr>
            </w:pPr>
            <w:r>
              <w:rPr>
                <w:rFonts w:hint="eastAsia" w:ascii="Times New Roman" w:hAnsi="Times New Roman"/>
              </w:rPr>
              <w:t>不存在禁止投标的情形</w:t>
            </w:r>
          </w:p>
        </w:tc>
        <w:tc>
          <w:tcPr>
            <w:tcW w:w="2451" w:type="dxa"/>
            <w:tcBorders>
              <w:top w:val="single" w:color="auto" w:sz="4" w:space="0"/>
              <w:left w:val="single" w:color="auto" w:sz="4" w:space="0"/>
              <w:bottom w:val="single" w:color="auto" w:sz="4" w:space="0"/>
              <w:right w:val="single" w:color="auto" w:sz="4" w:space="0"/>
            </w:tcBorders>
            <w:vAlign w:val="center"/>
          </w:tcPr>
          <w:p>
            <w:pPr>
              <w:ind w:left="-171"/>
              <w:jc w:val="center"/>
              <w:rPr>
                <w:rFonts w:ascii="宋体"/>
                <w:szCs w:val="21"/>
              </w:rPr>
            </w:pPr>
            <w:r>
              <w:rPr>
                <w:rFonts w:ascii="宋体"/>
                <w:szCs w:val="21"/>
              </w:rPr>
              <w:t>□满足 □不满足</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813" w:hRule="atLeast"/>
          <w:jc w:val="center"/>
        </w:trPr>
        <w:tc>
          <w:tcPr>
            <w:tcW w:w="1272" w:type="dxa"/>
            <w:tcBorders>
              <w:top w:val="single" w:color="auto" w:sz="4" w:space="0"/>
              <w:left w:val="single" w:color="auto" w:sz="4" w:space="0"/>
              <w:bottom w:val="single" w:color="auto" w:sz="4" w:space="0"/>
              <w:right w:val="single" w:color="auto" w:sz="4" w:space="0"/>
            </w:tcBorders>
            <w:vAlign w:val="center"/>
          </w:tcPr>
          <w:p>
            <w:pPr>
              <w:ind w:left="46" w:leftChars="19"/>
              <w:jc w:val="center"/>
              <w:rPr>
                <w:rFonts w:ascii="Times New Roman" w:hAnsi="Times New Roman"/>
              </w:rPr>
            </w:pPr>
            <w:r>
              <w:rPr>
                <w:rFonts w:ascii="Times New Roman" w:hAnsi="Times New Roman"/>
              </w:rPr>
              <w:t>5</w:t>
            </w:r>
          </w:p>
        </w:tc>
        <w:tc>
          <w:tcPr>
            <w:tcW w:w="5414" w:type="dxa"/>
            <w:tcBorders>
              <w:top w:val="single" w:color="auto" w:sz="4" w:space="0"/>
              <w:left w:val="single" w:color="auto" w:sz="4" w:space="0"/>
              <w:bottom w:val="single" w:color="auto" w:sz="4" w:space="0"/>
              <w:right w:val="single" w:color="auto" w:sz="4" w:space="0"/>
            </w:tcBorders>
            <w:vAlign w:val="center"/>
          </w:tcPr>
          <w:p>
            <w:pPr>
              <w:ind w:left="46" w:leftChars="19"/>
              <w:rPr>
                <w:rFonts w:ascii="Times New Roman" w:hAnsi="Times New Roman"/>
              </w:rPr>
            </w:pPr>
            <w:r>
              <w:rPr>
                <w:rFonts w:hint="eastAsia" w:ascii="Times New Roman" w:hAnsi="Times New Roman"/>
              </w:rPr>
              <w:t>投标报价</w:t>
            </w:r>
          </w:p>
        </w:tc>
        <w:tc>
          <w:tcPr>
            <w:tcW w:w="2451" w:type="dxa"/>
            <w:tcBorders>
              <w:top w:val="single" w:color="auto" w:sz="4" w:space="0"/>
              <w:left w:val="single" w:color="auto" w:sz="4" w:space="0"/>
              <w:bottom w:val="single" w:color="auto" w:sz="4" w:space="0"/>
              <w:right w:val="single" w:color="auto" w:sz="4" w:space="0"/>
            </w:tcBorders>
            <w:vAlign w:val="center"/>
          </w:tcPr>
          <w:p>
            <w:pPr>
              <w:ind w:left="-171"/>
              <w:jc w:val="center"/>
              <w:rPr>
                <w:rFonts w:ascii="宋体"/>
                <w:szCs w:val="21"/>
              </w:rPr>
            </w:pPr>
            <w:r>
              <w:rPr>
                <w:rFonts w:ascii="宋体"/>
                <w:szCs w:val="21"/>
              </w:rPr>
              <w:t>□满足 □不满足</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813" w:hRule="atLeast"/>
          <w:jc w:val="center"/>
        </w:trPr>
        <w:tc>
          <w:tcPr>
            <w:tcW w:w="1272" w:type="dxa"/>
            <w:tcBorders>
              <w:top w:val="single" w:color="auto" w:sz="4" w:space="0"/>
              <w:left w:val="single" w:color="auto" w:sz="4" w:space="0"/>
              <w:bottom w:val="single" w:color="auto" w:sz="4" w:space="0"/>
              <w:right w:val="single" w:color="auto" w:sz="4" w:space="0"/>
            </w:tcBorders>
            <w:vAlign w:val="center"/>
          </w:tcPr>
          <w:p>
            <w:pPr>
              <w:ind w:left="46" w:leftChars="19"/>
              <w:jc w:val="center"/>
              <w:rPr>
                <w:rFonts w:ascii="Times New Roman" w:hAnsi="Times New Roman"/>
              </w:rPr>
            </w:pPr>
            <w:r>
              <w:rPr>
                <w:rFonts w:ascii="Times New Roman" w:hAnsi="Times New Roman"/>
              </w:rPr>
              <w:t>6</w:t>
            </w:r>
          </w:p>
        </w:tc>
        <w:tc>
          <w:tcPr>
            <w:tcW w:w="5414" w:type="dxa"/>
            <w:tcBorders>
              <w:top w:val="single" w:color="auto" w:sz="4" w:space="0"/>
              <w:left w:val="single" w:color="auto" w:sz="4" w:space="0"/>
              <w:bottom w:val="single" w:color="auto" w:sz="4" w:space="0"/>
              <w:right w:val="single" w:color="auto" w:sz="4" w:space="0"/>
            </w:tcBorders>
            <w:vAlign w:val="center"/>
          </w:tcPr>
          <w:p>
            <w:pPr>
              <w:ind w:left="46" w:leftChars="19"/>
              <w:rPr>
                <w:rFonts w:ascii="Times New Roman" w:hAnsi="Times New Roman"/>
              </w:rPr>
            </w:pPr>
            <w:r>
              <w:rPr>
                <w:rFonts w:hint="eastAsia" w:ascii="Times New Roman" w:hAnsi="Times New Roman"/>
              </w:rPr>
              <w:t>投标有效期</w:t>
            </w:r>
          </w:p>
        </w:tc>
        <w:tc>
          <w:tcPr>
            <w:tcW w:w="2451" w:type="dxa"/>
            <w:tcBorders>
              <w:top w:val="single" w:color="auto" w:sz="4" w:space="0"/>
              <w:left w:val="single" w:color="auto" w:sz="4" w:space="0"/>
              <w:bottom w:val="single" w:color="auto" w:sz="4" w:space="0"/>
              <w:right w:val="single" w:color="auto" w:sz="4" w:space="0"/>
            </w:tcBorders>
            <w:vAlign w:val="center"/>
          </w:tcPr>
          <w:p>
            <w:pPr>
              <w:ind w:left="-171"/>
              <w:jc w:val="center"/>
              <w:rPr>
                <w:rFonts w:ascii="宋体"/>
                <w:szCs w:val="21"/>
              </w:rPr>
            </w:pPr>
            <w:r>
              <w:rPr>
                <w:rFonts w:ascii="宋体"/>
                <w:szCs w:val="21"/>
              </w:rPr>
              <w:t>□满足 □不满足</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813" w:hRule="atLeast"/>
          <w:jc w:val="center"/>
        </w:trPr>
        <w:tc>
          <w:tcPr>
            <w:tcW w:w="1272" w:type="dxa"/>
            <w:tcBorders>
              <w:top w:val="single" w:color="auto" w:sz="4" w:space="0"/>
              <w:left w:val="single" w:color="auto" w:sz="4" w:space="0"/>
              <w:bottom w:val="single" w:color="auto" w:sz="4" w:space="0"/>
              <w:right w:val="single" w:color="auto" w:sz="4" w:space="0"/>
            </w:tcBorders>
            <w:vAlign w:val="center"/>
          </w:tcPr>
          <w:p>
            <w:pPr>
              <w:ind w:left="46" w:leftChars="19"/>
              <w:jc w:val="center"/>
              <w:rPr>
                <w:rFonts w:ascii="Times New Roman" w:hAnsi="Times New Roman"/>
              </w:rPr>
            </w:pPr>
            <w:r>
              <w:rPr>
                <w:rFonts w:ascii="Times New Roman" w:hAnsi="Times New Roman"/>
              </w:rPr>
              <w:t>7</w:t>
            </w:r>
          </w:p>
        </w:tc>
        <w:tc>
          <w:tcPr>
            <w:tcW w:w="5414" w:type="dxa"/>
            <w:tcBorders>
              <w:top w:val="single" w:color="auto" w:sz="4" w:space="0"/>
              <w:left w:val="single" w:color="auto" w:sz="4" w:space="0"/>
              <w:bottom w:val="single" w:color="auto" w:sz="4" w:space="0"/>
              <w:right w:val="single" w:color="auto" w:sz="4" w:space="0"/>
            </w:tcBorders>
            <w:vAlign w:val="center"/>
          </w:tcPr>
          <w:p>
            <w:pPr>
              <w:ind w:left="46" w:leftChars="19"/>
              <w:rPr>
                <w:rFonts w:ascii="Times New Roman" w:hAnsi="Times New Roman"/>
              </w:rPr>
            </w:pPr>
            <w:r>
              <w:rPr>
                <w:rFonts w:hint="eastAsia" w:ascii="Times New Roman" w:hAnsi="Times New Roman"/>
              </w:rPr>
              <w:t>投标保证金</w:t>
            </w:r>
          </w:p>
        </w:tc>
        <w:tc>
          <w:tcPr>
            <w:tcW w:w="2451" w:type="dxa"/>
            <w:tcBorders>
              <w:top w:val="single" w:color="auto" w:sz="4" w:space="0"/>
              <w:left w:val="single" w:color="auto" w:sz="4" w:space="0"/>
              <w:bottom w:val="single" w:color="auto" w:sz="4" w:space="0"/>
              <w:right w:val="single" w:color="auto" w:sz="4" w:space="0"/>
            </w:tcBorders>
            <w:vAlign w:val="center"/>
          </w:tcPr>
          <w:p>
            <w:pPr>
              <w:ind w:left="-171"/>
              <w:jc w:val="center"/>
              <w:rPr>
                <w:rFonts w:ascii="宋体"/>
                <w:szCs w:val="21"/>
              </w:rPr>
            </w:pPr>
            <w:r>
              <w:rPr>
                <w:rFonts w:ascii="宋体"/>
                <w:szCs w:val="21"/>
              </w:rPr>
              <w:t>□满足 □不满足</w:t>
            </w:r>
          </w:p>
        </w:tc>
      </w:tr>
    </w:tbl>
    <w:p>
      <w:pPr>
        <w:rPr>
          <w:b/>
          <w:sz w:val="28"/>
        </w:rPr>
      </w:pPr>
    </w:p>
    <w:p>
      <w:pPr>
        <w:rPr>
          <w:rFonts w:ascii="黑体" w:eastAsia="黑体"/>
          <w:bCs/>
          <w:sz w:val="28"/>
        </w:rPr>
      </w:pPr>
      <w:r>
        <w:rPr>
          <w:b/>
          <w:sz w:val="28"/>
        </w:rPr>
        <w:t>格式二十</w:t>
      </w:r>
      <w:r>
        <w:rPr>
          <w:rFonts w:hint="eastAsia"/>
          <w:b/>
          <w:sz w:val="28"/>
        </w:rPr>
        <w:t>三</w:t>
      </w:r>
      <w:r>
        <w:rPr>
          <w:b/>
          <w:sz w:val="28"/>
        </w:rPr>
        <w:t>：</w:t>
      </w:r>
      <w:r>
        <w:rPr>
          <w:rFonts w:hint="eastAsia" w:ascii="黑体" w:eastAsia="黑体" w:cs="Times New Roman"/>
          <w:bCs/>
          <w:sz w:val="28"/>
        </w:rPr>
        <w:t>技术评分、商务评分</w:t>
      </w:r>
      <w:r>
        <w:rPr>
          <w:rFonts w:ascii="黑体" w:eastAsia="黑体" w:cs="Times New Roman"/>
          <w:bCs/>
          <w:sz w:val="28"/>
        </w:rPr>
        <w:t>自</w:t>
      </w:r>
      <w:r>
        <w:rPr>
          <w:rFonts w:ascii="黑体" w:eastAsia="黑体"/>
          <w:bCs/>
          <w:sz w:val="28"/>
        </w:rPr>
        <w:t>查表</w:t>
      </w:r>
    </w:p>
    <w:tbl>
      <w:tblPr>
        <w:tblStyle w:val="31"/>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0" w:type="dxa"/>
          <w:bottom w:w="0" w:type="dxa"/>
          <w:right w:w="0" w:type="dxa"/>
        </w:tblCellMar>
      </w:tblPr>
      <w:tblGrid>
        <w:gridCol w:w="2374"/>
        <w:gridCol w:w="2338"/>
        <w:gridCol w:w="1350"/>
        <w:gridCol w:w="122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725" w:hRule="atLeast"/>
          <w:jc w:val="center"/>
        </w:trPr>
        <w:tc>
          <w:tcPr>
            <w:tcW w:w="2374" w:type="dxa"/>
            <w:vAlign w:val="center"/>
          </w:tcPr>
          <w:p>
            <w:pPr>
              <w:jc w:val="center"/>
              <w:rPr>
                <w:rFonts w:ascii="Times New Roman" w:hAnsi="Times New Roman"/>
                <w:b/>
                <w:szCs w:val="21"/>
              </w:rPr>
            </w:pPr>
            <w:r>
              <w:rPr>
                <w:rFonts w:ascii="Times New Roman" w:hAnsi="Times New Roman"/>
                <w:b/>
                <w:szCs w:val="21"/>
              </w:rPr>
              <w:t>序号</w:t>
            </w:r>
          </w:p>
        </w:tc>
        <w:tc>
          <w:tcPr>
            <w:tcW w:w="2338" w:type="dxa"/>
            <w:vAlign w:val="center"/>
          </w:tcPr>
          <w:p>
            <w:pPr>
              <w:adjustRightInd w:val="0"/>
              <w:snapToGrid w:val="0"/>
              <w:jc w:val="center"/>
              <w:rPr>
                <w:rFonts w:ascii="Times New Roman" w:hAnsi="Times New Roman"/>
                <w:b/>
                <w:szCs w:val="21"/>
              </w:rPr>
            </w:pPr>
            <w:r>
              <w:rPr>
                <w:rFonts w:hint="eastAsia" w:ascii="宋体"/>
                <w:bCs/>
                <w:szCs w:val="21"/>
              </w:rPr>
              <w:t>评审项目</w:t>
            </w:r>
          </w:p>
        </w:tc>
        <w:tc>
          <w:tcPr>
            <w:tcW w:w="1350" w:type="dxa"/>
            <w:vAlign w:val="center"/>
          </w:tcPr>
          <w:p>
            <w:pPr>
              <w:adjustRightInd w:val="0"/>
              <w:snapToGrid w:val="0"/>
              <w:jc w:val="center"/>
              <w:rPr>
                <w:rFonts w:ascii="Times New Roman" w:hAnsi="Times New Roman"/>
                <w:b/>
                <w:szCs w:val="21"/>
              </w:rPr>
            </w:pPr>
            <w:r>
              <w:rPr>
                <w:rFonts w:hint="eastAsia" w:ascii="宋体"/>
                <w:bCs/>
                <w:szCs w:val="21"/>
              </w:rPr>
              <w:t>评审细则</w:t>
            </w:r>
          </w:p>
        </w:tc>
        <w:tc>
          <w:tcPr>
            <w:tcW w:w="1220" w:type="dxa"/>
            <w:vAlign w:val="center"/>
          </w:tcPr>
          <w:p>
            <w:pPr>
              <w:jc w:val="center"/>
              <w:rPr>
                <w:rFonts w:ascii="Times New Roman" w:hAnsi="Times New Roman"/>
                <w:b/>
                <w:szCs w:val="21"/>
              </w:rPr>
            </w:pPr>
            <w:r>
              <w:rPr>
                <w:rFonts w:hint="eastAsia" w:ascii="Times New Roman" w:hAnsi="Times New Roman"/>
                <w:b/>
                <w:szCs w:val="21"/>
              </w:rPr>
              <w:t>自评得分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890" w:hRule="atLeast"/>
          <w:jc w:val="center"/>
        </w:trPr>
        <w:tc>
          <w:tcPr>
            <w:tcW w:w="2374" w:type="dxa"/>
            <w:vAlign w:val="center"/>
          </w:tcPr>
          <w:p>
            <w:pPr>
              <w:jc w:val="center"/>
              <w:rPr>
                <w:rFonts w:ascii="Times New Roman" w:hAnsi="Times New Roman"/>
                <w:szCs w:val="21"/>
              </w:rPr>
            </w:pPr>
            <w:bookmarkStart w:id="11" w:name="XXPSZCTable_7590"/>
            <w:r>
              <w:rPr>
                <w:rFonts w:hint="eastAsia" w:ascii="Times New Roman" w:hAnsi="Times New Roman"/>
                <w:szCs w:val="21"/>
              </w:rPr>
              <w:t>详细评审自查表</w:t>
            </w:r>
            <w:bookmarkEnd w:id="11"/>
          </w:p>
        </w:tc>
        <w:tc>
          <w:tcPr>
            <w:tcW w:w="2338" w:type="dxa"/>
            <w:tcBorders>
              <w:top w:val="single" w:color="auto" w:sz="4" w:space="0"/>
              <w:left w:val="single" w:color="auto" w:sz="4" w:space="0"/>
              <w:right w:val="single" w:color="auto" w:sz="4" w:space="0"/>
            </w:tcBorders>
            <w:vAlign w:val="center"/>
          </w:tcPr>
          <w:p>
            <w:pPr>
              <w:jc w:val="center"/>
              <w:rPr>
                <w:rFonts w:ascii="Times New Roman" w:hAnsi="Times New Roman"/>
                <w:szCs w:val="21"/>
              </w:rPr>
            </w:pPr>
            <w:r>
              <w:rPr>
                <w:rFonts w:hint="eastAsia" w:ascii="Times New Roman" w:hAnsi="Times New Roman"/>
                <w:szCs w:val="21"/>
              </w:rPr>
              <w:t>技术评审</w:t>
            </w:r>
          </w:p>
        </w:tc>
        <w:tc>
          <w:tcPr>
            <w:tcW w:w="1350" w:type="dxa"/>
            <w:tcBorders>
              <w:top w:val="single" w:color="auto" w:sz="4" w:space="0"/>
              <w:left w:val="single" w:color="auto" w:sz="4" w:space="0"/>
              <w:right w:val="single" w:color="auto" w:sz="4" w:space="0"/>
            </w:tcBorders>
            <w:vAlign w:val="center"/>
          </w:tcPr>
          <w:p>
            <w:pPr>
              <w:jc w:val="center"/>
              <w:rPr>
                <w:rFonts w:ascii="Times New Roman" w:hAnsi="Times New Roman"/>
                <w:szCs w:val="21"/>
              </w:rPr>
            </w:pPr>
          </w:p>
        </w:tc>
        <w:tc>
          <w:tcPr>
            <w:tcW w:w="1220" w:type="dxa"/>
            <w:vAlign w:val="center"/>
          </w:tcPr>
          <w:p>
            <w:pPr>
              <w:jc w:val="center"/>
              <w:rPr>
                <w:rFonts w:ascii="Times New Roman" w:hAnsi="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890" w:hRule="atLeast"/>
          <w:jc w:val="center"/>
        </w:trPr>
        <w:tc>
          <w:tcPr>
            <w:tcW w:w="2374" w:type="dxa"/>
            <w:vAlign w:val="center"/>
          </w:tcPr>
          <w:p>
            <w:pPr>
              <w:jc w:val="center"/>
              <w:rPr>
                <w:rFonts w:ascii="Times New Roman" w:hAnsi="Times New Roman"/>
                <w:szCs w:val="21"/>
              </w:rPr>
            </w:pPr>
            <w:r>
              <w:rPr>
                <w:rFonts w:ascii="Times New Roman" w:hAnsi="Times New Roman"/>
                <w:szCs w:val="21"/>
              </w:rPr>
              <w:t>1</w:t>
            </w:r>
          </w:p>
        </w:tc>
        <w:tc>
          <w:tcPr>
            <w:tcW w:w="2338" w:type="dxa"/>
            <w:tcBorders>
              <w:top w:val="single" w:color="auto" w:sz="4" w:space="0"/>
              <w:left w:val="single" w:color="auto" w:sz="4" w:space="0"/>
              <w:right w:val="single" w:color="auto" w:sz="4" w:space="0"/>
            </w:tcBorders>
            <w:vAlign w:val="center"/>
          </w:tcPr>
          <w:p>
            <w:pPr>
              <w:pStyle w:val="80"/>
              <w:spacing w:line="261" w:lineRule="exact"/>
              <w:ind w:left="101"/>
              <w:jc w:val="both"/>
              <w:rPr>
                <w:rFonts w:ascii="宋体"/>
                <w:bCs/>
                <w:kern w:val="2"/>
                <w:sz w:val="21"/>
                <w:szCs w:val="21"/>
              </w:rPr>
            </w:pPr>
          </w:p>
        </w:tc>
        <w:tc>
          <w:tcPr>
            <w:tcW w:w="1350" w:type="dxa"/>
            <w:tcBorders>
              <w:top w:val="single" w:color="auto" w:sz="4" w:space="0"/>
              <w:left w:val="single" w:color="auto" w:sz="4" w:space="0"/>
              <w:right w:val="single" w:color="auto" w:sz="4" w:space="0"/>
            </w:tcBorders>
            <w:vAlign w:val="center"/>
          </w:tcPr>
          <w:p>
            <w:pPr>
              <w:pStyle w:val="80"/>
              <w:spacing w:line="261" w:lineRule="exact"/>
              <w:jc w:val="both"/>
              <w:rPr>
                <w:rFonts w:ascii="宋体"/>
                <w:bCs/>
                <w:kern w:val="2"/>
                <w:sz w:val="21"/>
                <w:szCs w:val="21"/>
              </w:rPr>
            </w:pPr>
          </w:p>
        </w:tc>
        <w:tc>
          <w:tcPr>
            <w:tcW w:w="1220" w:type="dxa"/>
            <w:vAlign w:val="center"/>
          </w:tcPr>
          <w:p>
            <w:pPr>
              <w:jc w:val="center"/>
              <w:rPr>
                <w:rFonts w:ascii="Times New Roman" w:hAnsi="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890" w:hRule="atLeast"/>
          <w:jc w:val="center"/>
        </w:trPr>
        <w:tc>
          <w:tcPr>
            <w:tcW w:w="2374" w:type="dxa"/>
            <w:vAlign w:val="center"/>
          </w:tcPr>
          <w:p>
            <w:pPr>
              <w:jc w:val="center"/>
              <w:rPr>
                <w:rFonts w:ascii="Times New Roman" w:hAnsi="Times New Roman"/>
                <w:szCs w:val="21"/>
              </w:rPr>
            </w:pPr>
            <w:r>
              <w:rPr>
                <w:rFonts w:ascii="Times New Roman" w:hAnsi="Times New Roman"/>
                <w:szCs w:val="21"/>
              </w:rPr>
              <w:t>2</w:t>
            </w:r>
          </w:p>
        </w:tc>
        <w:tc>
          <w:tcPr>
            <w:tcW w:w="2338" w:type="dxa"/>
            <w:tcBorders>
              <w:top w:val="single" w:color="auto" w:sz="4" w:space="0"/>
              <w:left w:val="single" w:color="auto" w:sz="4" w:space="0"/>
              <w:right w:val="single" w:color="auto" w:sz="4" w:space="0"/>
            </w:tcBorders>
            <w:vAlign w:val="center"/>
          </w:tcPr>
          <w:p>
            <w:pPr>
              <w:pStyle w:val="80"/>
              <w:spacing w:line="261" w:lineRule="exact"/>
              <w:jc w:val="both"/>
              <w:rPr>
                <w:rFonts w:ascii="宋体"/>
                <w:bCs/>
                <w:kern w:val="2"/>
                <w:sz w:val="21"/>
                <w:szCs w:val="21"/>
              </w:rPr>
            </w:pPr>
          </w:p>
        </w:tc>
        <w:tc>
          <w:tcPr>
            <w:tcW w:w="1350" w:type="dxa"/>
            <w:tcBorders>
              <w:top w:val="single" w:color="auto" w:sz="4" w:space="0"/>
              <w:left w:val="single" w:color="auto" w:sz="4" w:space="0"/>
              <w:right w:val="single" w:color="auto" w:sz="4" w:space="0"/>
            </w:tcBorders>
            <w:vAlign w:val="center"/>
          </w:tcPr>
          <w:p>
            <w:pPr>
              <w:pStyle w:val="80"/>
              <w:spacing w:line="261" w:lineRule="exact"/>
              <w:jc w:val="both"/>
              <w:rPr>
                <w:rFonts w:ascii="宋体"/>
                <w:bCs/>
                <w:kern w:val="2"/>
                <w:sz w:val="21"/>
                <w:szCs w:val="21"/>
              </w:rPr>
            </w:pPr>
          </w:p>
        </w:tc>
        <w:tc>
          <w:tcPr>
            <w:tcW w:w="1220" w:type="dxa"/>
            <w:vAlign w:val="center"/>
          </w:tcPr>
          <w:p>
            <w:pPr>
              <w:jc w:val="center"/>
              <w:rPr>
                <w:rFonts w:ascii="Times New Roman" w:hAnsi="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890" w:hRule="atLeast"/>
          <w:jc w:val="center"/>
        </w:trPr>
        <w:tc>
          <w:tcPr>
            <w:tcW w:w="2374" w:type="dxa"/>
            <w:vAlign w:val="center"/>
          </w:tcPr>
          <w:p>
            <w:pPr>
              <w:jc w:val="center"/>
              <w:rPr>
                <w:rFonts w:ascii="Times New Roman" w:hAnsi="Times New Roman"/>
                <w:szCs w:val="21"/>
              </w:rPr>
            </w:pPr>
          </w:p>
        </w:tc>
        <w:tc>
          <w:tcPr>
            <w:tcW w:w="2338" w:type="dxa"/>
            <w:tcBorders>
              <w:top w:val="single" w:color="auto" w:sz="4" w:space="0"/>
              <w:left w:val="single" w:color="auto" w:sz="4" w:space="0"/>
              <w:right w:val="single" w:color="auto" w:sz="4" w:space="0"/>
            </w:tcBorders>
            <w:vAlign w:val="center"/>
          </w:tcPr>
          <w:p>
            <w:pPr>
              <w:jc w:val="center"/>
              <w:rPr>
                <w:rFonts w:ascii="Times New Roman" w:hAnsi="Times New Roman"/>
                <w:szCs w:val="21"/>
              </w:rPr>
            </w:pPr>
            <w:r>
              <w:rPr>
                <w:rFonts w:hint="eastAsia" w:ascii="Times New Roman" w:hAnsi="Times New Roman"/>
                <w:szCs w:val="21"/>
              </w:rPr>
              <w:t>商务评审</w:t>
            </w:r>
          </w:p>
        </w:tc>
        <w:tc>
          <w:tcPr>
            <w:tcW w:w="1350" w:type="dxa"/>
            <w:tcBorders>
              <w:top w:val="single" w:color="auto" w:sz="4" w:space="0"/>
              <w:left w:val="single" w:color="auto" w:sz="4" w:space="0"/>
              <w:right w:val="single" w:color="auto" w:sz="4" w:space="0"/>
            </w:tcBorders>
            <w:vAlign w:val="center"/>
          </w:tcPr>
          <w:p>
            <w:pPr>
              <w:jc w:val="center"/>
              <w:rPr>
                <w:rFonts w:ascii="Times New Roman" w:hAnsi="Times New Roman"/>
                <w:szCs w:val="21"/>
              </w:rPr>
            </w:pPr>
          </w:p>
        </w:tc>
        <w:tc>
          <w:tcPr>
            <w:tcW w:w="1220" w:type="dxa"/>
            <w:vAlign w:val="center"/>
          </w:tcPr>
          <w:p>
            <w:pPr>
              <w:jc w:val="center"/>
              <w:rPr>
                <w:rFonts w:ascii="Times New Roman" w:hAnsi="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890" w:hRule="atLeast"/>
          <w:jc w:val="center"/>
        </w:trPr>
        <w:tc>
          <w:tcPr>
            <w:tcW w:w="2374" w:type="dxa"/>
            <w:vAlign w:val="center"/>
          </w:tcPr>
          <w:p>
            <w:pPr>
              <w:jc w:val="center"/>
              <w:rPr>
                <w:rFonts w:ascii="Times New Roman" w:hAnsi="Times New Roman"/>
                <w:szCs w:val="21"/>
              </w:rPr>
            </w:pPr>
            <w:r>
              <w:rPr>
                <w:rFonts w:ascii="Times New Roman" w:hAnsi="Times New Roman"/>
                <w:szCs w:val="21"/>
              </w:rPr>
              <w:t>1</w:t>
            </w:r>
          </w:p>
        </w:tc>
        <w:tc>
          <w:tcPr>
            <w:tcW w:w="2338" w:type="dxa"/>
            <w:tcBorders>
              <w:top w:val="single" w:color="auto" w:sz="4" w:space="0"/>
              <w:left w:val="single" w:color="auto" w:sz="4" w:space="0"/>
              <w:right w:val="single" w:color="auto" w:sz="4" w:space="0"/>
            </w:tcBorders>
            <w:vAlign w:val="center"/>
          </w:tcPr>
          <w:p>
            <w:pPr>
              <w:pStyle w:val="75"/>
              <w:jc w:val="center"/>
              <w:rPr>
                <w:rFonts w:ascii="宋体" w:cs="黑体"/>
                <w:bCs/>
                <w:kern w:val="2"/>
                <w:sz w:val="24"/>
                <w:szCs w:val="21"/>
              </w:rPr>
            </w:pPr>
          </w:p>
        </w:tc>
        <w:tc>
          <w:tcPr>
            <w:tcW w:w="1350" w:type="dxa"/>
            <w:tcBorders>
              <w:top w:val="single" w:color="auto" w:sz="4" w:space="0"/>
              <w:left w:val="single" w:color="auto" w:sz="4" w:space="0"/>
              <w:right w:val="single" w:color="auto" w:sz="4" w:space="0"/>
            </w:tcBorders>
          </w:tcPr>
          <w:p>
            <w:pPr>
              <w:pStyle w:val="75"/>
              <w:rPr>
                <w:rFonts w:ascii="宋体" w:cs="黑体"/>
                <w:bCs/>
                <w:kern w:val="2"/>
                <w:sz w:val="24"/>
                <w:szCs w:val="21"/>
              </w:rPr>
            </w:pPr>
          </w:p>
        </w:tc>
        <w:tc>
          <w:tcPr>
            <w:tcW w:w="1220" w:type="dxa"/>
            <w:vAlign w:val="center"/>
          </w:tcPr>
          <w:p>
            <w:pPr>
              <w:jc w:val="center"/>
              <w:rPr>
                <w:rFonts w:ascii="Times New Roman" w:hAnsi="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890" w:hRule="atLeast"/>
          <w:jc w:val="center"/>
        </w:trPr>
        <w:tc>
          <w:tcPr>
            <w:tcW w:w="2374" w:type="dxa"/>
            <w:vAlign w:val="center"/>
          </w:tcPr>
          <w:p>
            <w:pPr>
              <w:jc w:val="center"/>
              <w:rPr>
                <w:rFonts w:ascii="Times New Roman" w:hAnsi="Times New Roman"/>
                <w:szCs w:val="21"/>
              </w:rPr>
            </w:pPr>
            <w:r>
              <w:rPr>
                <w:rFonts w:ascii="Times New Roman" w:hAnsi="Times New Roman"/>
                <w:szCs w:val="21"/>
              </w:rPr>
              <w:t>2</w:t>
            </w:r>
          </w:p>
        </w:tc>
        <w:tc>
          <w:tcPr>
            <w:tcW w:w="2338" w:type="dxa"/>
            <w:tcBorders>
              <w:top w:val="single" w:color="auto" w:sz="4" w:space="0"/>
              <w:left w:val="single" w:color="auto" w:sz="4" w:space="0"/>
              <w:right w:val="single" w:color="auto" w:sz="4" w:space="0"/>
            </w:tcBorders>
          </w:tcPr>
          <w:p>
            <w:pPr>
              <w:pStyle w:val="75"/>
              <w:rPr>
                <w:rFonts w:ascii="宋体" w:cs="黑体"/>
                <w:bCs/>
                <w:kern w:val="2"/>
                <w:sz w:val="24"/>
                <w:szCs w:val="21"/>
              </w:rPr>
            </w:pPr>
          </w:p>
        </w:tc>
        <w:tc>
          <w:tcPr>
            <w:tcW w:w="1350" w:type="dxa"/>
            <w:tcBorders>
              <w:top w:val="single" w:color="auto" w:sz="4" w:space="0"/>
              <w:left w:val="single" w:color="auto" w:sz="4" w:space="0"/>
              <w:right w:val="single" w:color="auto" w:sz="4" w:space="0"/>
            </w:tcBorders>
          </w:tcPr>
          <w:p>
            <w:pPr>
              <w:pStyle w:val="75"/>
              <w:rPr>
                <w:rFonts w:ascii="宋体" w:cs="黑体"/>
                <w:bCs/>
                <w:kern w:val="2"/>
                <w:sz w:val="24"/>
                <w:szCs w:val="21"/>
              </w:rPr>
            </w:pPr>
          </w:p>
        </w:tc>
        <w:tc>
          <w:tcPr>
            <w:tcW w:w="1220" w:type="dxa"/>
            <w:vAlign w:val="center"/>
          </w:tcPr>
          <w:p>
            <w:pPr>
              <w:jc w:val="center"/>
              <w:rPr>
                <w:rFonts w:ascii="Times New Roman" w:hAnsi="Times New Roman"/>
                <w:szCs w:val="21"/>
              </w:rPr>
            </w:pPr>
          </w:p>
        </w:tc>
      </w:tr>
    </w:tbl>
    <w:p>
      <w:pPr>
        <w:rPr>
          <w:b/>
          <w:sz w:val="28"/>
        </w:rPr>
      </w:pPr>
    </w:p>
    <w:p>
      <w:pPr>
        <w:rPr>
          <w:b/>
          <w:sz w:val="28"/>
        </w:rPr>
      </w:pPr>
      <w:r>
        <w:rPr>
          <w:rFonts w:hint="eastAsia"/>
          <w:b/>
          <w:sz w:val="28"/>
        </w:rPr>
        <w:t>格式二十四：</w:t>
      </w:r>
    </w:p>
    <w:p>
      <w:pPr>
        <w:spacing w:line="360" w:lineRule="auto"/>
        <w:ind w:firstLine="480" w:firstLineChars="200"/>
        <w:jc w:val="center"/>
        <w:rPr>
          <w:rFonts w:ascii="宋体"/>
          <w:szCs w:val="24"/>
        </w:rPr>
      </w:pPr>
      <w:r>
        <w:rPr>
          <w:rFonts w:hint="eastAsia" w:ascii="宋体"/>
          <w:szCs w:val="24"/>
        </w:rPr>
        <w:t>分包意向协议书</w:t>
      </w:r>
    </w:p>
    <w:p>
      <w:pPr>
        <w:spacing w:line="360" w:lineRule="auto"/>
        <w:ind w:firstLine="480" w:firstLineChars="200"/>
        <w:rPr>
          <w:rFonts w:ascii="宋体"/>
          <w:szCs w:val="24"/>
        </w:rPr>
      </w:pPr>
      <w:r>
        <w:rPr>
          <w:rFonts w:hint="eastAsia" w:ascii="宋体"/>
          <w:szCs w:val="24"/>
        </w:rPr>
        <w:t>与就“&lt;#项目名称#&gt;” (项目编号:&lt;#项目编号#&gt;)（以下简称本项目）的投标有关事宜，经各方充分协商一致，达成如下协议：</w:t>
      </w:r>
    </w:p>
    <w:p>
      <w:pPr>
        <w:numPr>
          <w:ilvl w:val="0"/>
          <w:numId w:val="9"/>
        </w:numPr>
        <w:tabs>
          <w:tab w:val="left" w:pos="0"/>
          <w:tab w:val="left" w:pos="709"/>
        </w:tabs>
        <w:spacing w:line="360" w:lineRule="auto"/>
        <w:ind w:left="0" w:firstLine="570"/>
        <w:jc w:val="left"/>
        <w:rPr>
          <w:rFonts w:ascii="宋体"/>
          <w:szCs w:val="24"/>
        </w:rPr>
      </w:pPr>
      <w:r>
        <w:rPr>
          <w:rFonts w:hint="eastAsia" w:ascii="宋体"/>
          <w:szCs w:val="24"/>
        </w:rPr>
        <w:t>由牵头，参加进行本项目的投标工作。</w:t>
      </w:r>
    </w:p>
    <w:p>
      <w:pPr>
        <w:numPr>
          <w:ilvl w:val="0"/>
          <w:numId w:val="9"/>
        </w:numPr>
        <w:tabs>
          <w:tab w:val="left" w:pos="0"/>
        </w:tabs>
        <w:spacing w:line="360" w:lineRule="auto"/>
        <w:ind w:left="0" w:firstLine="570"/>
        <w:rPr>
          <w:rFonts w:ascii="宋体"/>
          <w:szCs w:val="24"/>
        </w:rPr>
      </w:pPr>
      <w:r>
        <w:rPr>
          <w:rFonts w:hint="eastAsia" w:ascii="宋体"/>
          <w:szCs w:val="24"/>
        </w:rPr>
        <w:t>如中标，则牵头方负责 等工作；参加方负责 等工作。各方各自承担相应的责任。</w:t>
      </w:r>
    </w:p>
    <w:p>
      <w:pPr>
        <w:numPr>
          <w:ilvl w:val="0"/>
          <w:numId w:val="9"/>
        </w:numPr>
        <w:tabs>
          <w:tab w:val="left" w:pos="0"/>
        </w:tabs>
        <w:spacing w:line="360" w:lineRule="auto"/>
        <w:ind w:left="0" w:firstLine="570"/>
        <w:rPr>
          <w:rFonts w:ascii="宋体"/>
          <w:szCs w:val="24"/>
        </w:rPr>
      </w:pPr>
      <w:r>
        <w:rPr>
          <w:rFonts w:hint="eastAsia" w:ascii="宋体"/>
          <w:szCs w:val="24"/>
        </w:rPr>
        <w:t>参加方中的为</w:t>
      </w:r>
      <w:r>
        <w:rPr>
          <w:rFonts w:hint="eastAsia" w:ascii="宋体"/>
          <w:spacing w:val="6"/>
          <w:szCs w:val="24"/>
        </w:rPr>
        <w:t>小微型企业，</w:t>
      </w:r>
      <w:r>
        <w:rPr>
          <w:rFonts w:hint="eastAsia" w:ascii="宋体"/>
          <w:szCs w:val="24"/>
        </w:rPr>
        <w:t>协议方中的为大</w:t>
      </w:r>
      <w:r>
        <w:rPr>
          <w:rFonts w:hint="eastAsia" w:ascii="宋体"/>
          <w:spacing w:val="6"/>
          <w:szCs w:val="24"/>
        </w:rPr>
        <w:t>型企业，</w:t>
      </w:r>
      <w:r>
        <w:rPr>
          <w:rFonts w:hint="eastAsia" w:ascii="宋体"/>
          <w:szCs w:val="24"/>
        </w:rPr>
        <w:t>协议方中的为</w:t>
      </w:r>
      <w:r>
        <w:rPr>
          <w:rFonts w:hint="eastAsia" w:ascii="宋体"/>
          <w:spacing w:val="6"/>
          <w:szCs w:val="24"/>
        </w:rPr>
        <w:t>中型企业（如有请填写，如无，请删除）。中</w:t>
      </w:r>
      <w:r>
        <w:rPr>
          <w:rFonts w:hint="eastAsia" w:ascii="宋体" w:cs="Arial"/>
          <w:szCs w:val="24"/>
        </w:rPr>
        <w:t>小微企业承担的合同份额占合同金额的比例为%（</w:t>
      </w:r>
      <w:r>
        <w:rPr>
          <w:rFonts w:ascii="宋体" w:cs="Arial"/>
          <w:szCs w:val="24"/>
        </w:rPr>
        <w:t>其中预留给小微企业的</w:t>
      </w:r>
      <w:r>
        <w:rPr>
          <w:rFonts w:hint="eastAsia" w:ascii="宋体" w:cs="Arial"/>
          <w:szCs w:val="24"/>
        </w:rPr>
        <w:t>合同份额占合同金额</w:t>
      </w:r>
      <w:r>
        <w:rPr>
          <w:rFonts w:ascii="宋体" w:cs="Arial"/>
          <w:szCs w:val="24"/>
        </w:rPr>
        <w:t>比例</w:t>
      </w:r>
      <w:r>
        <w:rPr>
          <w:rFonts w:hint="eastAsia" w:ascii="宋体" w:cs="Arial"/>
          <w:szCs w:val="24"/>
        </w:rPr>
        <w:t>为</w:t>
      </w:r>
      <w:r>
        <w:rPr>
          <w:rFonts w:ascii="宋体" w:cs="Arial"/>
          <w:szCs w:val="24"/>
        </w:rPr>
        <w:t xml:space="preserve"> %</w:t>
      </w:r>
      <w:r>
        <w:rPr>
          <w:rFonts w:hint="eastAsia" w:ascii="宋体" w:cs="Arial"/>
          <w:szCs w:val="24"/>
        </w:rPr>
        <w:t>）。上述</w:t>
      </w:r>
      <w:r>
        <w:rPr>
          <w:rFonts w:hint="eastAsia" w:ascii="宋体"/>
          <w:spacing w:val="6"/>
          <w:szCs w:val="24"/>
        </w:rPr>
        <w:t>公司与其它各方</w:t>
      </w:r>
      <w:r>
        <w:rPr>
          <w:rFonts w:hint="eastAsia" w:ascii="宋体"/>
          <w:szCs w:val="24"/>
        </w:rPr>
        <w:t>（请填写：存在、不存在）直接控股、管理关系。</w:t>
      </w:r>
    </w:p>
    <w:p>
      <w:pPr>
        <w:spacing w:line="360" w:lineRule="auto"/>
        <w:rPr>
          <w:rFonts w:ascii="宋体"/>
          <w:szCs w:val="24"/>
        </w:rPr>
      </w:pPr>
      <w:r>
        <w:rPr>
          <w:rFonts w:hint="eastAsia" w:ascii="宋体"/>
          <w:szCs w:val="24"/>
        </w:rPr>
        <w:t>（应附所列中小微企业的《中小企业声明函》；如各方均为小型、微型企业的，则各方均应提供《中小企业声明函》）</w:t>
      </w:r>
    </w:p>
    <w:p>
      <w:pPr>
        <w:numPr>
          <w:ilvl w:val="0"/>
          <w:numId w:val="9"/>
        </w:numPr>
        <w:tabs>
          <w:tab w:val="left" w:pos="0"/>
        </w:tabs>
        <w:spacing w:line="360" w:lineRule="auto"/>
        <w:ind w:left="0" w:firstLine="570"/>
        <w:rPr>
          <w:rFonts w:ascii="宋体"/>
          <w:szCs w:val="24"/>
        </w:rPr>
      </w:pPr>
      <w:r>
        <w:rPr>
          <w:rFonts w:hint="eastAsia" w:ascii="宋体"/>
          <w:szCs w:val="24"/>
        </w:rPr>
        <w:t>各方不得再以自己名义单独在本项目中投标。</w:t>
      </w:r>
    </w:p>
    <w:p>
      <w:pPr>
        <w:numPr>
          <w:ilvl w:val="0"/>
          <w:numId w:val="9"/>
        </w:numPr>
        <w:tabs>
          <w:tab w:val="left" w:pos="0"/>
        </w:tabs>
        <w:spacing w:line="360" w:lineRule="auto"/>
        <w:ind w:left="0" w:firstLine="570"/>
        <w:rPr>
          <w:rFonts w:ascii="宋体"/>
          <w:szCs w:val="24"/>
        </w:rPr>
      </w:pPr>
      <w:r>
        <w:rPr>
          <w:rFonts w:hint="eastAsia" w:ascii="宋体"/>
          <w:szCs w:val="24"/>
        </w:rPr>
        <w:t>（各方自行约定内容，如没有删去此条）</w:t>
      </w:r>
    </w:p>
    <w:p>
      <w:pPr>
        <w:numPr>
          <w:ilvl w:val="0"/>
          <w:numId w:val="9"/>
        </w:numPr>
        <w:tabs>
          <w:tab w:val="left" w:pos="0"/>
        </w:tabs>
        <w:spacing w:line="360" w:lineRule="auto"/>
        <w:ind w:left="0" w:firstLine="570"/>
        <w:rPr>
          <w:rFonts w:ascii="宋体"/>
          <w:szCs w:val="24"/>
        </w:rPr>
      </w:pPr>
      <w:r>
        <w:rPr>
          <w:rFonts w:hint="eastAsia" w:ascii="宋体"/>
          <w:szCs w:val="24"/>
        </w:rPr>
        <w:t>未中标，本协议自动废止。</w:t>
      </w:r>
    </w:p>
    <w:p>
      <w:pPr>
        <w:ind w:left="105"/>
        <w:rPr>
          <w:rFonts w:ascii="宋体"/>
          <w:szCs w:val="24"/>
        </w:rPr>
      </w:pPr>
    </w:p>
    <w:p>
      <w:pPr>
        <w:spacing w:line="360" w:lineRule="auto"/>
        <w:ind w:firstLine="570"/>
        <w:rPr>
          <w:rFonts w:ascii="宋体"/>
          <w:szCs w:val="24"/>
        </w:rPr>
      </w:pPr>
      <w:r>
        <w:rPr>
          <w:rFonts w:hint="eastAsia" w:ascii="宋体"/>
          <w:szCs w:val="24"/>
        </w:rPr>
        <w:t>牵  头  方：（公 章）             参  加  方：（公 章）</w:t>
      </w:r>
    </w:p>
    <w:p>
      <w:pPr>
        <w:spacing w:line="360" w:lineRule="auto"/>
        <w:ind w:firstLine="570"/>
        <w:rPr>
          <w:rFonts w:ascii="宋体"/>
          <w:szCs w:val="24"/>
        </w:rPr>
      </w:pPr>
      <w:r>
        <w:rPr>
          <w:rFonts w:hint="eastAsia" w:ascii="宋体"/>
          <w:szCs w:val="24"/>
        </w:rPr>
        <w:t>地      址：                     地      址：</w:t>
      </w:r>
    </w:p>
    <w:p>
      <w:pPr>
        <w:spacing w:line="360" w:lineRule="auto"/>
        <w:ind w:firstLine="570"/>
        <w:rPr>
          <w:rFonts w:ascii="宋体"/>
          <w:szCs w:val="24"/>
        </w:rPr>
      </w:pPr>
      <w:r>
        <w:rPr>
          <w:rFonts w:hint="eastAsia" w:ascii="宋体"/>
          <w:szCs w:val="24"/>
        </w:rPr>
        <w:t>邮      编：                     邮      编：</w:t>
      </w:r>
    </w:p>
    <w:p>
      <w:pPr>
        <w:spacing w:line="360" w:lineRule="auto"/>
        <w:ind w:firstLine="570"/>
        <w:rPr>
          <w:rFonts w:ascii="宋体"/>
          <w:szCs w:val="24"/>
        </w:rPr>
      </w:pPr>
      <w:r>
        <w:rPr>
          <w:rFonts w:hint="eastAsia" w:ascii="宋体"/>
          <w:szCs w:val="24"/>
        </w:rPr>
        <w:t>电      话：                     电      话：</w:t>
      </w:r>
    </w:p>
    <w:p>
      <w:pPr>
        <w:spacing w:line="360" w:lineRule="auto"/>
        <w:jc w:val="right"/>
        <w:rPr>
          <w:rFonts w:ascii="宋体" w:cs="Arial"/>
          <w:szCs w:val="24"/>
        </w:rPr>
      </w:pPr>
      <w:r>
        <w:rPr>
          <w:rFonts w:hint="eastAsia" w:ascii="宋体"/>
          <w:szCs w:val="24"/>
        </w:rPr>
        <w:t>签订日期：</w:t>
      </w:r>
      <w:r>
        <w:rPr>
          <w:rFonts w:hint="eastAsia" w:ascii="宋体" w:cs="Arial"/>
          <w:szCs w:val="24"/>
        </w:rPr>
        <w:t>20  年   月   日</w:t>
      </w:r>
    </w:p>
    <w:p>
      <w:pPr>
        <w:spacing w:line="360" w:lineRule="auto"/>
      </w:pPr>
      <w:r>
        <w:rPr>
          <w:rFonts w:hint="eastAsia" w:ascii="宋体"/>
          <w:szCs w:val="24"/>
        </w:rPr>
        <w:t>注：</w:t>
      </w:r>
      <w:r>
        <w:rPr>
          <w:rFonts w:hint="eastAsia" w:cs="Helvetica"/>
          <w:color w:val="000000"/>
          <w:szCs w:val="24"/>
        </w:rPr>
        <w:t>中小微企业承担的合同份额占合同金额的比例达到</w:t>
      </w:r>
      <w:r>
        <w:rPr>
          <w:rFonts w:hint="eastAsia" w:ascii="宋体" w:cs="Arial"/>
          <w:szCs w:val="24"/>
        </w:rPr>
        <w:t xml:space="preserve"> %以上（其中预留给小微企业的部分不低于合同金额的 %）。以上比例须在</w:t>
      </w:r>
      <w:r>
        <w:rPr>
          <w:rFonts w:hint="eastAsia" w:ascii="宋体"/>
          <w:szCs w:val="24"/>
        </w:rPr>
        <w:t>分包意向协议书</w:t>
      </w:r>
      <w:r>
        <w:rPr>
          <w:rFonts w:hint="eastAsia" w:ascii="宋体"/>
          <w:szCs w:val="24"/>
          <w:lang w:val="en-GB"/>
        </w:rPr>
        <w:t>中明确。</w:t>
      </w:r>
    </w:p>
    <w:p>
      <w:pPr>
        <w:rPr>
          <w:b/>
          <w:sz w:val="28"/>
        </w:rPr>
      </w:pPr>
    </w:p>
    <w:p>
      <w:pPr>
        <w:rPr>
          <w:b/>
          <w:sz w:val="28"/>
        </w:rPr>
      </w:pPr>
      <w:r>
        <w:rPr>
          <w:rFonts w:hint="eastAsia"/>
          <w:b/>
          <w:sz w:val="28"/>
        </w:rPr>
        <w:t>格式二十五：</w:t>
      </w:r>
    </w:p>
    <w:p>
      <w:pPr>
        <w:pStyle w:val="75"/>
        <w:spacing w:line="360" w:lineRule="auto"/>
        <w:jc w:val="center"/>
        <w:outlineLvl w:val="3"/>
        <w:rPr>
          <w:rFonts w:ascii="宋体" w:cs="宋体"/>
          <w:b/>
          <w:color w:val="000000"/>
          <w:sz w:val="24"/>
          <w:szCs w:val="24"/>
        </w:rPr>
      </w:pPr>
      <w:r>
        <w:rPr>
          <w:rFonts w:hint="eastAsia" w:ascii="宋体" w:cs="宋体"/>
          <w:b/>
          <w:color w:val="000000"/>
          <w:sz w:val="24"/>
          <w:szCs w:val="24"/>
        </w:rPr>
        <w:t>质量保障承诺书</w:t>
      </w:r>
    </w:p>
    <w:p>
      <w:pPr>
        <w:pStyle w:val="75"/>
        <w:spacing w:line="360" w:lineRule="auto"/>
        <w:rPr>
          <w:rFonts w:ascii="宋体" w:cs="宋体"/>
          <w:color w:val="000000"/>
          <w:sz w:val="24"/>
          <w:szCs w:val="24"/>
        </w:rPr>
      </w:pPr>
      <w:r>
        <w:rPr>
          <w:rFonts w:hint="eastAsia" w:ascii="宋体" w:cs="宋体"/>
          <w:color w:val="000000"/>
          <w:sz w:val="24"/>
          <w:szCs w:val="24"/>
        </w:rPr>
        <w:t>致：中华人民共和国广州海关</w:t>
      </w:r>
    </w:p>
    <w:p>
      <w:pPr>
        <w:pStyle w:val="75"/>
        <w:spacing w:line="360" w:lineRule="auto"/>
        <w:ind w:firstLine="480"/>
        <w:rPr>
          <w:rFonts w:ascii="宋体" w:cs="宋体"/>
          <w:color w:val="000000"/>
          <w:sz w:val="24"/>
          <w:szCs w:val="24"/>
        </w:rPr>
      </w:pPr>
      <w:r>
        <w:rPr>
          <w:rFonts w:hint="eastAsia" w:ascii="宋体" w:cs="宋体"/>
          <w:color w:val="000000"/>
          <w:sz w:val="24"/>
          <w:szCs w:val="24"/>
        </w:rPr>
        <w:t>我方 [供应商名称]，作为参与贵单位XXX采购项目（项目编号：QCZ2025-XXX）的供应商，充分理解贵方对产品质量和履约能力的严格要求。为避免因低价竞争导致产品质量不达标，保障项目顺利实施，我方郑重承诺如下：</w:t>
      </w:r>
    </w:p>
    <w:p>
      <w:pPr>
        <w:pStyle w:val="75"/>
        <w:spacing w:line="360" w:lineRule="auto"/>
        <w:ind w:firstLine="480"/>
        <w:rPr>
          <w:rFonts w:ascii="宋体" w:cs="宋体"/>
          <w:color w:val="000000"/>
          <w:sz w:val="24"/>
          <w:szCs w:val="24"/>
        </w:rPr>
      </w:pPr>
      <w:r>
        <w:rPr>
          <w:rFonts w:hint="eastAsia" w:ascii="宋体" w:cs="宋体"/>
          <w:color w:val="000000"/>
          <w:sz w:val="24"/>
          <w:szCs w:val="24"/>
        </w:rPr>
        <w:t>一、质量承诺</w:t>
      </w:r>
    </w:p>
    <w:p>
      <w:pPr>
        <w:pStyle w:val="75"/>
        <w:spacing w:line="360" w:lineRule="auto"/>
        <w:ind w:firstLine="480"/>
        <w:rPr>
          <w:rFonts w:ascii="宋体" w:cs="宋体"/>
          <w:color w:val="000000"/>
          <w:sz w:val="24"/>
          <w:szCs w:val="24"/>
        </w:rPr>
      </w:pPr>
      <w:r>
        <w:rPr>
          <w:rFonts w:hint="eastAsia" w:ascii="宋体" w:cs="宋体"/>
          <w:color w:val="000000"/>
          <w:sz w:val="24"/>
          <w:szCs w:val="24"/>
        </w:rPr>
        <w:t>我方保证所提供的所有货物均严格按照采购文件要求、国家及行业相关标准进行生产制造，使用符合质量要求的原材料，确保产品的质量、性能、规格、技术参数等完全满足项目需求，不存在任何质量缺陷。在产品交付前，我方将进行全面、严格的质量检验，确保交付的每一件产品均为合格产品。</w:t>
      </w:r>
    </w:p>
    <w:p>
      <w:pPr>
        <w:pStyle w:val="75"/>
        <w:spacing w:line="360" w:lineRule="auto"/>
        <w:ind w:firstLine="480"/>
        <w:rPr>
          <w:rFonts w:ascii="宋体" w:cs="宋体"/>
          <w:color w:val="000000"/>
          <w:sz w:val="24"/>
          <w:szCs w:val="24"/>
        </w:rPr>
      </w:pPr>
      <w:r>
        <w:rPr>
          <w:rFonts w:hint="eastAsia" w:ascii="宋体" w:cs="宋体"/>
          <w:color w:val="000000"/>
          <w:sz w:val="24"/>
          <w:szCs w:val="24"/>
        </w:rPr>
        <w:t>二、违约责任</w:t>
      </w:r>
    </w:p>
    <w:p>
      <w:pPr>
        <w:pStyle w:val="75"/>
        <w:spacing w:line="360" w:lineRule="auto"/>
        <w:ind w:firstLine="480"/>
        <w:rPr>
          <w:rFonts w:ascii="宋体" w:cs="宋体"/>
          <w:color w:val="000000"/>
          <w:sz w:val="24"/>
          <w:szCs w:val="24"/>
        </w:rPr>
      </w:pPr>
      <w:r>
        <w:rPr>
          <w:rFonts w:hint="eastAsia" w:ascii="宋体" w:cs="宋体"/>
          <w:color w:val="000000"/>
          <w:sz w:val="24"/>
          <w:szCs w:val="24"/>
        </w:rPr>
        <w:t>若因我方以低价中标，且在履约过程中因降低成本导致所交付的货物出现质量问题，经具有资质的第三方检测机构检测认定不合格，我方愿承担以下违约责任：</w:t>
      </w:r>
    </w:p>
    <w:p>
      <w:pPr>
        <w:pStyle w:val="75"/>
        <w:spacing w:line="360" w:lineRule="auto"/>
        <w:ind w:firstLine="480"/>
        <w:rPr>
          <w:rFonts w:ascii="宋体" w:cs="宋体"/>
          <w:color w:val="000000"/>
          <w:sz w:val="24"/>
          <w:szCs w:val="24"/>
        </w:rPr>
      </w:pPr>
      <w:r>
        <w:rPr>
          <w:rFonts w:hint="eastAsia" w:ascii="宋体" w:cs="宋体"/>
          <w:color w:val="000000"/>
          <w:sz w:val="24"/>
          <w:szCs w:val="24"/>
        </w:rPr>
        <w:t>1.向贵方支付合同金额 20% 的违约金，该违约金将从合同款项中直接扣除，我方对此无任何异议。</w:t>
      </w:r>
    </w:p>
    <w:p>
      <w:pPr>
        <w:pStyle w:val="75"/>
        <w:spacing w:line="360" w:lineRule="auto"/>
        <w:ind w:firstLine="480"/>
        <w:rPr>
          <w:rFonts w:ascii="宋体" w:cs="宋体"/>
          <w:color w:val="000000"/>
          <w:sz w:val="24"/>
          <w:szCs w:val="24"/>
        </w:rPr>
      </w:pPr>
      <w:r>
        <w:rPr>
          <w:rFonts w:hint="eastAsia" w:ascii="宋体" w:cs="宋体"/>
          <w:color w:val="000000"/>
          <w:sz w:val="24"/>
          <w:szCs w:val="24"/>
        </w:rPr>
        <w:t>2.在收到贵方通知后的 10 日内，完成整改或更换更换全部不合格产品，并承担因更换产品所产生的一切费用，包括但不限于运输费、检测费等，确保更换后的产品经检测完全合格。若整改后，产品仍未能达标的，采购人可要求中标人进行更换，整改及更换超过10日的，按合同暂定总价的2‰支付违约金，超过30日的，保留依法追究其经济及法律责任的权利。</w:t>
      </w:r>
    </w:p>
    <w:p>
      <w:pPr>
        <w:pStyle w:val="75"/>
        <w:spacing w:line="360" w:lineRule="auto"/>
        <w:ind w:firstLine="480"/>
        <w:rPr>
          <w:rFonts w:ascii="宋体" w:cs="宋体"/>
          <w:color w:val="000000"/>
          <w:sz w:val="24"/>
          <w:szCs w:val="24"/>
        </w:rPr>
      </w:pPr>
      <w:r>
        <w:rPr>
          <w:rFonts w:hint="eastAsia" w:ascii="宋体" w:cs="宋体"/>
          <w:color w:val="000000"/>
          <w:sz w:val="24"/>
          <w:szCs w:val="24"/>
        </w:rPr>
        <w:t>三、其他承诺</w:t>
      </w:r>
    </w:p>
    <w:p>
      <w:pPr>
        <w:pStyle w:val="75"/>
        <w:spacing w:line="360" w:lineRule="auto"/>
        <w:ind w:firstLine="480"/>
        <w:rPr>
          <w:rFonts w:ascii="宋体" w:cs="宋体"/>
          <w:color w:val="000000"/>
          <w:sz w:val="24"/>
          <w:szCs w:val="24"/>
        </w:rPr>
      </w:pPr>
      <w:r>
        <w:rPr>
          <w:rFonts w:hint="eastAsia" w:ascii="宋体" w:cs="宋体"/>
          <w:color w:val="000000"/>
          <w:sz w:val="24"/>
          <w:szCs w:val="24"/>
        </w:rPr>
        <w:t>1.我方承诺在整个项目执行过程中，严格遵守合同约定和贵方的管理要求，积极配合项目的各项工作，及时响应贵方提出的合理需求和整改意见。</w:t>
      </w:r>
    </w:p>
    <w:p>
      <w:pPr>
        <w:pStyle w:val="75"/>
        <w:spacing w:line="360" w:lineRule="auto"/>
        <w:ind w:firstLine="480"/>
        <w:rPr>
          <w:rFonts w:ascii="宋体" w:cs="宋体"/>
          <w:color w:val="000000"/>
          <w:sz w:val="24"/>
          <w:szCs w:val="24"/>
        </w:rPr>
      </w:pPr>
      <w:r>
        <w:rPr>
          <w:rFonts w:hint="eastAsia" w:ascii="宋体" w:cs="宋体"/>
          <w:color w:val="000000"/>
          <w:sz w:val="24"/>
          <w:szCs w:val="24"/>
        </w:rPr>
        <w:t>2.本承诺书自签署之日起生效，作为采购合同的重要组成部分，与采购合同具有同等法律效力。若我方违反上述任何承诺，贵方有权根据合同约定及相关法律法规追究我方的全部责任，我方对此放弃一切抗辩权利。</w:t>
      </w:r>
    </w:p>
    <w:p>
      <w:pPr>
        <w:pStyle w:val="75"/>
        <w:spacing w:line="360" w:lineRule="auto"/>
        <w:ind w:firstLine="480"/>
        <w:rPr>
          <w:rFonts w:ascii="宋体" w:cs="宋体"/>
          <w:color w:val="000000"/>
          <w:sz w:val="24"/>
          <w:szCs w:val="24"/>
        </w:rPr>
      </w:pPr>
      <w:r>
        <w:rPr>
          <w:rFonts w:hint="eastAsia" w:ascii="宋体" w:cs="宋体"/>
          <w:color w:val="000000"/>
          <w:sz w:val="24"/>
          <w:szCs w:val="24"/>
        </w:rPr>
        <w:t>特此承诺！</w:t>
      </w:r>
    </w:p>
    <w:p>
      <w:pPr>
        <w:spacing w:line="360" w:lineRule="auto"/>
        <w:rPr>
          <w:rFonts w:ascii="宋体" w:cs="宋体"/>
          <w:color w:val="000000"/>
          <w:szCs w:val="24"/>
        </w:rPr>
      </w:pPr>
    </w:p>
    <w:p>
      <w:pPr>
        <w:pStyle w:val="75"/>
        <w:spacing w:line="360" w:lineRule="auto"/>
        <w:ind w:firstLine="480"/>
        <w:jc w:val="right"/>
        <w:rPr>
          <w:rFonts w:ascii="宋体" w:cs="宋体"/>
          <w:color w:val="000000"/>
          <w:sz w:val="24"/>
          <w:szCs w:val="24"/>
        </w:rPr>
      </w:pPr>
      <w:r>
        <w:rPr>
          <w:rFonts w:hint="eastAsia" w:ascii="宋体" w:cs="宋体"/>
          <w:color w:val="000000"/>
          <w:sz w:val="24"/>
          <w:szCs w:val="24"/>
        </w:rPr>
        <w:t>供应商（盖章）：____________________</w:t>
      </w:r>
    </w:p>
    <w:p>
      <w:pPr>
        <w:pStyle w:val="75"/>
        <w:spacing w:line="360" w:lineRule="auto"/>
        <w:ind w:firstLine="480"/>
        <w:jc w:val="right"/>
        <w:rPr>
          <w:rFonts w:ascii="宋体" w:cs="宋体"/>
          <w:color w:val="000000"/>
          <w:sz w:val="24"/>
          <w:szCs w:val="24"/>
        </w:rPr>
      </w:pPr>
      <w:r>
        <w:rPr>
          <w:rFonts w:hint="eastAsia" w:ascii="宋体" w:cs="宋体"/>
          <w:color w:val="000000"/>
          <w:sz w:val="24"/>
          <w:szCs w:val="24"/>
        </w:rPr>
        <w:t>法定代表人或授权代表（签字）：____________________</w:t>
      </w:r>
    </w:p>
    <w:p>
      <w:pPr>
        <w:pStyle w:val="75"/>
        <w:spacing w:line="360" w:lineRule="auto"/>
        <w:ind w:firstLine="480"/>
        <w:jc w:val="right"/>
        <w:rPr>
          <w:rFonts w:ascii="宋体" w:cs="宋体"/>
          <w:color w:val="000000"/>
          <w:sz w:val="24"/>
          <w:szCs w:val="24"/>
        </w:rPr>
      </w:pPr>
      <w:r>
        <w:rPr>
          <w:rFonts w:hint="eastAsia" w:ascii="宋体" w:cs="宋体"/>
          <w:color w:val="000000"/>
          <w:sz w:val="24"/>
          <w:szCs w:val="24"/>
        </w:rPr>
        <w:t>日期：______年____月____日</w:t>
      </w:r>
    </w:p>
    <w:p>
      <w:pPr>
        <w:rPr>
          <w:b/>
          <w:sz w:val="28"/>
        </w:rPr>
      </w:pPr>
    </w:p>
    <w:sectPr>
      <w:pgSz w:w="11906" w:h="16838"/>
      <w:pgMar w:top="1440" w:right="1800" w:bottom="1440" w:left="180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1"/>
    <w:family w:val="auto"/>
    <w:pitch w:val="default"/>
    <w:sig w:usb0="E0002EFF" w:usb1="C000785B" w:usb2="00000009" w:usb3="00000000" w:csb0="400001FF" w:csb1="FFFF0000"/>
  </w:font>
  <w:font w:name="宋体">
    <w:panose1 w:val="02010600030101010101"/>
    <w:charset w:val="34"/>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等线">
    <w:panose1 w:val="02010600030101010101"/>
    <w:charset w:val="86"/>
    <w:family w:val="auto"/>
    <w:pitch w:val="default"/>
    <w:sig w:usb0="A00002BF" w:usb1="38CF7CFA" w:usb2="00000016" w:usb3="00000000" w:csb0="0004000F" w:csb1="00000000"/>
  </w:font>
  <w:font w:name="等线 Light">
    <w:panose1 w:val="02010600030101010101"/>
    <w:charset w:val="86"/>
    <w:family w:val="auto"/>
    <w:pitch w:val="default"/>
    <w:sig w:usb0="A00002BF" w:usb1="38CF7CFA" w:usb2="00000016" w:usb3="00000000" w:csb0="0004000F" w:csb1="00000000"/>
  </w:font>
  <w:font w:name="Cambria">
    <w:panose1 w:val="02040503050406030204"/>
    <w:charset w:val="00"/>
    <w:family w:val="roman"/>
    <w:pitch w:val="default"/>
    <w:sig w:usb0="E00006FF" w:usb1="420024FF" w:usb2="02000000" w:usb3="00000000" w:csb0="2000019F" w:csb1="00000000"/>
  </w:font>
  <w:font w:name="楷体_GB2312">
    <w:altName w:val="楷体"/>
    <w:panose1 w:val="00000000000000000000"/>
    <w:charset w:val="86"/>
    <w:family w:val="modern"/>
    <w:pitch w:val="default"/>
    <w:sig w:usb0="00000000" w:usb1="00000000" w:usb2="00000000" w:usb3="00000000" w:csb0="00040000" w:csb1="00000000"/>
  </w:font>
  <w:font w:name="Calibri Light">
    <w:panose1 w:val="020F0302020204030204"/>
    <w:charset w:val="00"/>
    <w:family w:val="swiss"/>
    <w:pitch w:val="default"/>
    <w:sig w:usb0="E4002EFF" w:usb1="C200247B" w:usb2="00000009" w:usb3="00000000" w:csb0="200001FF" w:csb1="00000000"/>
  </w:font>
  <w:font w:name="Tahoma">
    <w:panose1 w:val="020B0604030504040204"/>
    <w:charset w:val="00"/>
    <w:family w:val="swiss"/>
    <w:pitch w:val="default"/>
    <w:sig w:usb0="E1002EFF" w:usb1="C000605B" w:usb2="00000029" w:usb3="00000000" w:csb0="200101FF" w:csb1="20280000"/>
  </w:font>
  <w:font w:name="仿宋_GB2312">
    <w:panose1 w:val="02010609030101010101"/>
    <w:charset w:val="86"/>
    <w:family w:val="modern"/>
    <w:pitch w:val="default"/>
    <w:sig w:usb0="00000001" w:usb1="080E0000" w:usb2="00000000" w:usb3="00000000" w:csb0="00040000" w:csb1="00000000"/>
  </w:font>
  <w:font w:name="华文楷体">
    <w:altName w:val="宋体"/>
    <w:panose1 w:val="02010600040101010101"/>
    <w:charset w:val="86"/>
    <w:family w:val="auto"/>
    <w:pitch w:val="default"/>
    <w:sig w:usb0="00000000" w:usb1="00000000" w:usb2="00000000" w:usb3="00000000" w:csb0="0004009F" w:csb1="DFD70000"/>
  </w:font>
  <w:font w:name="Helvetica">
    <w:altName w:val="Arial"/>
    <w:panose1 w:val="020B0504020202020204"/>
    <w:charset w:val="00"/>
    <w:family w:val="swiss"/>
    <w:pitch w:val="default"/>
    <w:sig w:usb0="00000000" w:usb1="00000000" w:usb2="00000000" w:usb3="00000000" w:csb0="00000001" w:csb1="00000000"/>
  </w:font>
  <w:font w:name="楷体">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4"/>
      <w:framePr w:wrap="around" w:vAnchor="text" w:hAnchor="margin" w:xAlign="center" w:y="1"/>
      <w:rPr>
        <w:rStyle w:val="34"/>
      </w:rPr>
    </w:pPr>
    <w:r>
      <w:rPr>
        <w:rStyle w:val="34"/>
      </w:rPr>
      <w:fldChar w:fldCharType="begin"/>
    </w:r>
    <w:r>
      <w:rPr>
        <w:rStyle w:val="34"/>
      </w:rPr>
      <w:instrText xml:space="preserve"> PAGE </w:instrText>
    </w:r>
    <w:r>
      <w:fldChar w:fldCharType="separate"/>
    </w:r>
    <w:r>
      <w:rPr>
        <w:rStyle w:val="34"/>
      </w:rPr>
      <w:t>2</w:t>
    </w:r>
    <w:r>
      <w:fldChar w:fldCharType="end"/>
    </w:r>
  </w:p>
  <w:p>
    <w:pPr>
      <w:pStyle w:val="14"/>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4"/>
      <w:framePr w:wrap="around" w:vAnchor="text" w:hAnchor="margin" w:xAlign="center" w:y="1"/>
      <w:rPr>
        <w:rStyle w:val="34"/>
      </w:rPr>
    </w:pPr>
    <w:r>
      <w:rPr>
        <w:rStyle w:val="34"/>
      </w:rPr>
      <w:fldChar w:fldCharType="begin"/>
    </w:r>
    <w:r>
      <w:rPr>
        <w:rStyle w:val="34"/>
      </w:rPr>
      <w:instrText xml:space="preserve">PAGE  </w:instrText>
    </w:r>
    <w:r>
      <w:rPr>
        <w:rStyle w:val="34"/>
      </w:rPr>
      <w:fldChar w:fldCharType="separate"/>
    </w:r>
    <w:r>
      <w:rPr>
        <w:rStyle w:val="34"/>
      </w:rPr>
      <w:t>32</w:t>
    </w:r>
    <w:r>
      <w:rPr>
        <w:rStyle w:val="34"/>
      </w:rPr>
      <w:fldChar w:fldCharType="end"/>
    </w:r>
  </w:p>
  <w:p>
    <w:pPr>
      <w:pStyle w:val="14"/>
      <w:jc w:val="center"/>
    </w:pPr>
  </w:p>
  <w:p>
    <w:pPr>
      <w:pStyle w:val="14"/>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4"/>
      <w:framePr w:wrap="around" w:vAnchor="text" w:hAnchor="margin" w:xAlign="center" w:y="1"/>
      <w:rPr>
        <w:rStyle w:val="34"/>
      </w:rPr>
    </w:pPr>
    <w:r>
      <w:rPr>
        <w:rStyle w:val="34"/>
      </w:rPr>
      <w:fldChar w:fldCharType="begin"/>
    </w:r>
    <w:r>
      <w:rPr>
        <w:rStyle w:val="34"/>
      </w:rPr>
      <w:instrText xml:space="preserve">PAGE  </w:instrText>
    </w:r>
    <w:r>
      <w:rPr>
        <w:rStyle w:val="34"/>
      </w:rPr>
      <w:fldChar w:fldCharType="separate"/>
    </w:r>
    <w:r>
      <w:rPr>
        <w:rStyle w:val="34"/>
      </w:rPr>
      <w:t>8</w:t>
    </w:r>
    <w:r>
      <w:rPr>
        <w:rStyle w:val="34"/>
      </w:rPr>
      <w:fldChar w:fldCharType="end"/>
    </w:r>
  </w:p>
  <w:p>
    <w:pPr>
      <w:pStyle w:val="14"/>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6"/>
    </w:pPr>
    <w:r>
      <w:rPr>
        <w:rFonts w:hint="eastAsia"/>
      </w:rPr>
      <w:t>广州市政府采购中心招标文件                             项目编号：QCZ2026-0010</w: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6"/>
    </w:pPr>
    <w:r>
      <w:rPr>
        <w:rFonts w:hint="eastAsia"/>
      </w:rPr>
      <w:t>广州市政府采购中心招标文件                             项目编号：CZ2023-1308</w:t>
    </w: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6"/>
    </w:pPr>
    <w:r>
      <w:rPr>
        <w:rFonts w:hint="eastAsia"/>
      </w:rPr>
      <w:t>广州市政府采购中心招标文件                             项目编号：CZ2023-1308</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9B2C4D2B"/>
    <w:multiLevelType w:val="multilevel"/>
    <w:tmpl w:val="9B2C4D2B"/>
    <w:lvl w:ilvl="0" w:tentative="0">
      <w:start w:val="1"/>
      <w:numFmt w:val="chineseCountingThousand"/>
      <w:pStyle w:val="42"/>
      <w:lvlText w:val="%1、"/>
      <w:lvlJc w:val="left"/>
      <w:pPr>
        <w:ind w:left="425" w:hanging="425"/>
      </w:pPr>
      <w:rPr>
        <w:rFonts w:hint="eastAsia"/>
        <w:sz w:val="24"/>
        <w:szCs w:val="24"/>
      </w:rPr>
    </w:lvl>
    <w:lvl w:ilvl="1" w:tentative="0">
      <w:start w:val="1"/>
      <w:numFmt w:val="chineseCountingThousand"/>
      <w:lvlText w:val="(%2)"/>
      <w:lvlJc w:val="left"/>
      <w:pPr>
        <w:ind w:left="992" w:hanging="567"/>
      </w:pPr>
      <w:rPr>
        <w:rFonts w:hint="eastAsia" w:ascii="宋体" w:hAnsi="宋体" w:eastAsia="宋体"/>
        <w:b w:val="0"/>
        <w:color w:val="auto"/>
        <w:sz w:val="24"/>
        <w:szCs w:val="24"/>
      </w:rPr>
    </w:lvl>
    <w:lvl w:ilvl="2" w:tentative="0">
      <w:start w:val="1"/>
      <w:numFmt w:val="decimal"/>
      <w:lvlText w:val="%3."/>
      <w:lvlJc w:val="left"/>
      <w:pPr>
        <w:ind w:left="840" w:hanging="420"/>
      </w:pPr>
      <w:rPr>
        <w:rFonts w:hint="eastAsia" w:ascii="宋体" w:hAnsi="宋体" w:eastAsia="宋体"/>
        <w:color w:val="auto"/>
        <w:sz w:val="24"/>
        <w:szCs w:val="24"/>
      </w:rPr>
    </w:lvl>
    <w:lvl w:ilvl="3" w:tentative="0">
      <w:start w:val="1"/>
      <w:numFmt w:val="decimal"/>
      <w:lvlText w:val="(%4)"/>
      <w:lvlJc w:val="left"/>
      <w:pPr>
        <w:ind w:left="1984" w:hanging="708"/>
      </w:pPr>
      <w:rPr>
        <w:rFonts w:hint="eastAsia" w:ascii="仿宋_GB2312" w:hAnsi="仿宋_GB2312" w:eastAsia="仿宋_GB2312"/>
      </w:rPr>
    </w:lvl>
    <w:lvl w:ilvl="4" w:tentative="0">
      <w:start w:val="1"/>
      <w:numFmt w:val="decimal"/>
      <w:lvlText w:val="%1.%2.%3.%4.%5"/>
      <w:lvlJc w:val="left"/>
      <w:pPr>
        <w:ind w:left="2551" w:hanging="850"/>
      </w:pPr>
      <w:rPr>
        <w:rFonts w:hint="eastAsia"/>
      </w:rPr>
    </w:lvl>
    <w:lvl w:ilvl="5" w:tentative="0">
      <w:start w:val="1"/>
      <w:numFmt w:val="decimal"/>
      <w:lvlText w:val="%1.%2.%3.%4.%5.%6"/>
      <w:lvlJc w:val="left"/>
      <w:pPr>
        <w:ind w:left="3260" w:hanging="1134"/>
      </w:pPr>
      <w:rPr>
        <w:rFonts w:hint="eastAsia"/>
      </w:rPr>
    </w:lvl>
    <w:lvl w:ilvl="6" w:tentative="0">
      <w:start w:val="1"/>
      <w:numFmt w:val="decimal"/>
      <w:lvlText w:val="%1.%2.%3.%4.%5.%6.%7"/>
      <w:lvlJc w:val="left"/>
      <w:pPr>
        <w:ind w:left="3827" w:hanging="1276"/>
      </w:pPr>
      <w:rPr>
        <w:rFonts w:hint="eastAsia"/>
      </w:rPr>
    </w:lvl>
    <w:lvl w:ilvl="7" w:tentative="0">
      <w:start w:val="1"/>
      <w:numFmt w:val="decimal"/>
      <w:lvlText w:val="%1.%2.%3.%4.%5.%6.%7.%8"/>
      <w:lvlJc w:val="left"/>
      <w:pPr>
        <w:ind w:left="4394" w:hanging="1418"/>
      </w:pPr>
      <w:rPr>
        <w:rFonts w:hint="eastAsia"/>
      </w:rPr>
    </w:lvl>
    <w:lvl w:ilvl="8" w:tentative="0">
      <w:start w:val="1"/>
      <w:numFmt w:val="decimal"/>
      <w:lvlText w:val="%1.%2.%3.%4.%5.%6.%7.%8.%9"/>
      <w:lvlJc w:val="left"/>
      <w:pPr>
        <w:ind w:left="5102" w:hanging="1700"/>
      </w:pPr>
      <w:rPr>
        <w:rFonts w:hint="eastAsia"/>
      </w:rPr>
    </w:lvl>
  </w:abstractNum>
  <w:abstractNum w:abstractNumId="1">
    <w:nsid w:val="A6AC2FD6"/>
    <w:multiLevelType w:val="singleLevel"/>
    <w:tmpl w:val="A6AC2FD6"/>
    <w:lvl w:ilvl="0" w:tentative="0">
      <w:start w:val="5"/>
      <w:numFmt w:val="decimal"/>
      <w:suff w:val="nothing"/>
      <w:lvlText w:val="%1、"/>
      <w:lvlJc w:val="left"/>
      <w:pPr>
        <w:ind w:left="0" w:firstLine="0"/>
      </w:pPr>
    </w:lvl>
  </w:abstractNum>
  <w:abstractNum w:abstractNumId="2">
    <w:nsid w:val="BC62AE40"/>
    <w:multiLevelType w:val="singleLevel"/>
    <w:tmpl w:val="BC62AE40"/>
    <w:lvl w:ilvl="0" w:tentative="0">
      <w:start w:val="4"/>
      <w:numFmt w:val="chineseCounting"/>
      <w:suff w:val="nothing"/>
      <w:lvlText w:val="%1、"/>
      <w:lvlJc w:val="left"/>
      <w:pPr>
        <w:ind w:left="0" w:firstLine="0"/>
      </w:pPr>
      <w:rPr>
        <w:rFonts w:hint="eastAsia"/>
      </w:rPr>
    </w:lvl>
  </w:abstractNum>
  <w:abstractNum w:abstractNumId="3">
    <w:nsid w:val="20A82178"/>
    <w:multiLevelType w:val="singleLevel"/>
    <w:tmpl w:val="20A82178"/>
    <w:lvl w:ilvl="0" w:tentative="0">
      <w:start w:val="1"/>
      <w:numFmt w:val="chineseCounting"/>
      <w:suff w:val="nothing"/>
      <w:lvlText w:val="（%1）"/>
      <w:lvlJc w:val="left"/>
      <w:pPr>
        <w:ind w:left="0" w:firstLine="0"/>
      </w:pPr>
      <w:rPr>
        <w:rFonts w:hint="eastAsia"/>
      </w:rPr>
    </w:lvl>
  </w:abstractNum>
  <w:abstractNum w:abstractNumId="4">
    <w:nsid w:val="27E61768"/>
    <w:multiLevelType w:val="singleLevel"/>
    <w:tmpl w:val="27E61768"/>
    <w:lvl w:ilvl="0" w:tentative="0">
      <w:start w:val="5"/>
      <w:numFmt w:val="chineseCounting"/>
      <w:suff w:val="space"/>
      <w:lvlText w:val="第%1章"/>
      <w:lvlJc w:val="left"/>
      <w:pPr>
        <w:ind w:left="0" w:firstLine="0"/>
      </w:pPr>
      <w:rPr>
        <w:rFonts w:hint="eastAsia"/>
      </w:rPr>
    </w:lvl>
  </w:abstractNum>
  <w:abstractNum w:abstractNumId="5">
    <w:nsid w:val="34A974B0"/>
    <w:multiLevelType w:val="singleLevel"/>
    <w:tmpl w:val="34A974B0"/>
    <w:lvl w:ilvl="0" w:tentative="0">
      <w:start w:val="1"/>
      <w:numFmt w:val="decimal"/>
      <w:lvlText w:val="%1."/>
      <w:lvlJc w:val="left"/>
      <w:pPr>
        <w:ind w:left="0" w:firstLine="0"/>
      </w:pPr>
    </w:lvl>
  </w:abstractNum>
  <w:abstractNum w:abstractNumId="6">
    <w:nsid w:val="4CEA5249"/>
    <w:multiLevelType w:val="singleLevel"/>
    <w:tmpl w:val="4CEA5249"/>
    <w:lvl w:ilvl="0" w:tentative="0">
      <w:start w:val="1"/>
      <w:numFmt w:val="decimal"/>
      <w:lvlText w:val="%1."/>
      <w:lvlJc w:val="left"/>
      <w:pPr>
        <w:ind w:left="0" w:firstLine="0"/>
      </w:pPr>
    </w:lvl>
  </w:abstractNum>
  <w:abstractNum w:abstractNumId="7">
    <w:nsid w:val="51A9009F"/>
    <w:multiLevelType w:val="multilevel"/>
    <w:tmpl w:val="51A9009F"/>
    <w:lvl w:ilvl="0" w:tentative="0">
      <w:start w:val="1"/>
      <w:numFmt w:val="chineseCountingThousand"/>
      <w:lvlText w:val="%1、"/>
      <w:lvlJc w:val="left"/>
      <w:pPr>
        <w:ind w:left="990" w:hanging="420"/>
      </w:pPr>
    </w:lvl>
    <w:lvl w:ilvl="1" w:tentative="0">
      <w:start w:val="1"/>
      <w:numFmt w:val="lowerLetter"/>
      <w:lvlText w:val="%2)"/>
      <w:lvlJc w:val="left"/>
      <w:pPr>
        <w:ind w:left="1410" w:hanging="420"/>
      </w:pPr>
    </w:lvl>
    <w:lvl w:ilvl="2" w:tentative="0">
      <w:start w:val="1"/>
      <w:numFmt w:val="lowerRoman"/>
      <w:lvlText w:val="%3."/>
      <w:lvlJc w:val="right"/>
      <w:pPr>
        <w:ind w:left="1830" w:hanging="420"/>
      </w:pPr>
    </w:lvl>
    <w:lvl w:ilvl="3" w:tentative="0">
      <w:start w:val="1"/>
      <w:numFmt w:val="decimal"/>
      <w:lvlText w:val="%4."/>
      <w:lvlJc w:val="left"/>
      <w:pPr>
        <w:ind w:left="2250" w:hanging="420"/>
      </w:pPr>
    </w:lvl>
    <w:lvl w:ilvl="4" w:tentative="0">
      <w:start w:val="1"/>
      <w:numFmt w:val="lowerLetter"/>
      <w:lvlText w:val="%5)"/>
      <w:lvlJc w:val="left"/>
      <w:pPr>
        <w:ind w:left="2670" w:hanging="420"/>
      </w:pPr>
    </w:lvl>
    <w:lvl w:ilvl="5" w:tentative="0">
      <w:start w:val="1"/>
      <w:numFmt w:val="lowerRoman"/>
      <w:lvlText w:val="%6."/>
      <w:lvlJc w:val="right"/>
      <w:pPr>
        <w:ind w:left="3090" w:hanging="420"/>
      </w:pPr>
    </w:lvl>
    <w:lvl w:ilvl="6" w:tentative="0">
      <w:start w:val="1"/>
      <w:numFmt w:val="decimal"/>
      <w:lvlText w:val="%7."/>
      <w:lvlJc w:val="left"/>
      <w:pPr>
        <w:ind w:left="3510" w:hanging="420"/>
      </w:pPr>
    </w:lvl>
    <w:lvl w:ilvl="7" w:tentative="0">
      <w:start w:val="1"/>
      <w:numFmt w:val="lowerLetter"/>
      <w:lvlText w:val="%8)"/>
      <w:lvlJc w:val="left"/>
      <w:pPr>
        <w:ind w:left="3930" w:hanging="420"/>
      </w:pPr>
    </w:lvl>
    <w:lvl w:ilvl="8" w:tentative="0">
      <w:start w:val="1"/>
      <w:numFmt w:val="lowerRoman"/>
      <w:lvlText w:val="%9."/>
      <w:lvlJc w:val="right"/>
      <w:pPr>
        <w:ind w:left="4350" w:hanging="420"/>
      </w:pPr>
    </w:lvl>
  </w:abstractNum>
  <w:abstractNum w:abstractNumId="8">
    <w:nsid w:val="6BED2309"/>
    <w:multiLevelType w:val="singleLevel"/>
    <w:tmpl w:val="6BED2309"/>
    <w:lvl w:ilvl="0" w:tentative="0">
      <w:start w:val="1"/>
      <w:numFmt w:val="chineseCounting"/>
      <w:suff w:val="nothing"/>
      <w:lvlText w:val="%1、"/>
      <w:lvlJc w:val="left"/>
      <w:pPr>
        <w:ind w:left="0" w:firstLine="0"/>
      </w:pPr>
      <w:rPr>
        <w:rFonts w:hint="eastAsia"/>
      </w:rPr>
    </w:lvl>
  </w:abstractNum>
  <w:num w:numId="1">
    <w:abstractNumId w:val="0"/>
  </w:num>
  <w:num w:numId="2">
    <w:abstractNumId w:val="1"/>
  </w:num>
  <w:num w:numId="3">
    <w:abstractNumId w:val="8"/>
  </w:num>
  <w:num w:numId="4">
    <w:abstractNumId w:val="2"/>
  </w:num>
  <w:num w:numId="5">
    <w:abstractNumId w:val="3"/>
  </w:num>
  <w:num w:numId="6">
    <w:abstractNumId w:val="5"/>
  </w:num>
  <w:num w:numId="7">
    <w:abstractNumId w:val="6"/>
  </w:num>
  <w:num w:numId="8">
    <w:abstractNumId w:val="4"/>
  </w:num>
  <w:num w:numId="9">
    <w:abstractNumId w:val="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bordersDoNotSurroundHeader w:val="1"/>
  <w:bordersDoNotSurroundFooter w:val="1"/>
  <w:documentProtection w:enforcement="0"/>
  <w:defaultTabStop w:val="420"/>
  <w:drawingGridHorizontalSpacing w:val="120"/>
  <w:drawingGridVerticalSpacing w:val="163"/>
  <w:displayHorizontalDrawingGridEvery w:val="0"/>
  <w:displayVerticalDrawingGridEvery w:val="1"/>
  <w:noPunctuationKerning w:val="1"/>
  <w:characterSpacingControl w:val="compressPunctuation"/>
  <w:compat>
    <w:spaceForUL/>
    <w:balanceSingleByteDoubleByteWidth/>
    <w:ulTrailSpace/>
    <w:doNotExpandShiftReturn/>
    <w:adjustLineHeightInTable/>
    <w:useFELayout/>
    <w:compatSetting w:name="compatibilityMode" w:uri="http://schemas.microsoft.com/office/word" w:val="14"/>
  </w:compat>
  <w:docVars>
    <w:docVar w:name="commondata" w:val="eyJoZGlkIjoiZTczYTg5OGNiNzVmOWExMjQxM2RhNzhmOTQzMGMzODgifQ=="/>
  </w:docVars>
  <w:rsids>
    <w:rsidRoot w:val="00000000"/>
    <w:rsid w:val="07E33F09"/>
    <w:rsid w:val="221F20C5"/>
    <w:rsid w:val="2B962842"/>
    <w:rsid w:val="391C2D60"/>
    <w:rsid w:val="3D0A017D"/>
    <w:rsid w:val="410D79B9"/>
    <w:rsid w:val="5CAB124F"/>
    <w:rsid w:val="62D46EE7"/>
    <w:rsid w:val="69BF098B"/>
    <w:rsid w:val="6D5730BF"/>
    <w:rsid w:val="77864427"/>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unhideWhenUsed="0" w:uiPriority="0" w:semiHidden="0" w:name="Normal"/>
    <w:lsdException w:qFormat="1" w:unhideWhenUsed="0" w:uiPriority="0" w:semiHidden="0" w:name="heading 1"/>
    <w:lsdException w:qFormat="1" w:unhideWhenUsed="0" w:uiPriority="0" w:semiHidden="0" w:name="heading 2"/>
    <w:lsdException w:qFormat="1" w:unhideWhenUsed="0" w:uiPriority="0" w:semiHidden="0" w:name="heading 3"/>
    <w:lsdException w:qFormat="1" w:unhideWhenUsed="0" w:uiPriority="0" w:semiHidden="0" w:name="heading 4"/>
    <w:lsdException w:qFormat="1" w:unhideWhenUsed="0" w:uiPriority="0" w:semiHidden="0" w:name="heading 5"/>
    <w:lsdException w:qFormat="1" w:unhideWhenUsed="0" w:uiPriority="0" w:semiHidden="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qFormat="1"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qFormat="1" w:unhideWhenUsed="0" w:uiPriority="0" w:semiHidden="0" w:name="envelope return"/>
    <w:lsdException w:unhideWhenUsed="0" w:uiPriority="0" w:semiHidden="0" w:name="footnote reference"/>
    <w:lsdException w:qFormat="1"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qFormat="1" w:unhideWhenUsed="0" w:uiPriority="0" w:semiHidden="0" w:name="Signature"/>
    <w:lsdException w:qFormat="1" w:unhideWhenUsed="0" w:uiPriority="0" w:semiHidden="0" w:name="Default Paragraph Font"/>
    <w:lsdException w:qFormat="1"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qFormat="1"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qFormat="1" w:unhideWhenUsed="0" w:uiPriority="0" w:semiHidden="0" w:name="Body Text First Indent"/>
    <w:lsdException w:qFormat="1" w:unhideWhenUsed="0" w:uiPriority="0" w:semiHidden="0" w:name="Body Text First Indent 2"/>
    <w:lsdException w:unhideWhenUsed="0" w:uiPriority="0" w:semiHidden="0" w:name="Note Heading"/>
    <w:lsdException w:qFormat="1" w:unhideWhenUsed="0" w:uiPriority="0" w:semiHidden="0" w:name="Body Text 2"/>
    <w:lsdException w:unhideWhenUsed="0" w:uiPriority="0" w:semiHidden="0" w:name="Body Text 3"/>
    <w:lsdException w:unhideWhenUsed="0" w:uiPriority="0" w:semiHidden="0" w:name="Body Text Indent 2"/>
    <w:lsdException w:qFormat="1"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qFormat="1"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qFormat="1"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qFormat="1"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uiPriority w:val="0"/>
    <w:pPr>
      <w:widowControl w:val="0"/>
      <w:jc w:val="both"/>
    </w:pPr>
    <w:rPr>
      <w:rFonts w:ascii="等线" w:hAnsi="等线" w:eastAsia="宋体" w:cs="黑体"/>
      <w:kern w:val="2"/>
      <w:sz w:val="24"/>
      <w:szCs w:val="22"/>
      <w:lang w:val="en-US" w:eastAsia="zh-CN" w:bidi="ar-SA"/>
    </w:rPr>
  </w:style>
  <w:style w:type="paragraph" w:styleId="2">
    <w:name w:val="heading 1"/>
    <w:basedOn w:val="1"/>
    <w:next w:val="1"/>
    <w:autoRedefine/>
    <w:qFormat/>
    <w:uiPriority w:val="0"/>
    <w:pPr>
      <w:keepNext/>
      <w:keepLines/>
      <w:widowControl/>
      <w:spacing w:before="340" w:after="330" w:line="576" w:lineRule="auto"/>
      <w:jc w:val="left"/>
      <w:outlineLvl w:val="0"/>
    </w:pPr>
    <w:rPr>
      <w:rFonts w:ascii="Times New Roman" w:hAnsi="Times New Roman" w:cs="Times New Roman"/>
      <w:b/>
      <w:bCs/>
      <w:kern w:val="44"/>
      <w:sz w:val="44"/>
      <w:szCs w:val="44"/>
    </w:rPr>
  </w:style>
  <w:style w:type="paragraph" w:styleId="3">
    <w:name w:val="heading 2"/>
    <w:basedOn w:val="1"/>
    <w:next w:val="1"/>
    <w:qFormat/>
    <w:uiPriority w:val="0"/>
    <w:pPr>
      <w:keepNext/>
      <w:keepLines/>
      <w:widowControl w:val="0"/>
      <w:spacing w:before="260" w:after="260" w:line="415" w:lineRule="auto"/>
      <w:outlineLvl w:val="1"/>
    </w:pPr>
    <w:rPr>
      <w:rFonts w:ascii="等线 Light" w:eastAsia="等线 Light" w:cs="Times New Roman"/>
      <w:b/>
      <w:bCs/>
      <w:sz w:val="32"/>
      <w:szCs w:val="32"/>
    </w:rPr>
  </w:style>
  <w:style w:type="paragraph" w:styleId="4">
    <w:name w:val="heading 3"/>
    <w:basedOn w:val="1"/>
    <w:next w:val="1"/>
    <w:autoRedefine/>
    <w:qFormat/>
    <w:uiPriority w:val="0"/>
    <w:pPr>
      <w:keepNext/>
      <w:keepLines/>
      <w:widowControl w:val="0"/>
      <w:spacing w:before="200"/>
      <w:outlineLvl w:val="2"/>
    </w:pPr>
    <w:rPr>
      <w:rFonts w:ascii="Cambria" w:hAnsi="Cambria" w:cs="Times New Roman"/>
      <w:b/>
      <w:bCs/>
      <w:color w:val="4F81BD"/>
    </w:rPr>
  </w:style>
  <w:style w:type="paragraph" w:styleId="5">
    <w:name w:val="heading 4"/>
    <w:basedOn w:val="1"/>
    <w:next w:val="1"/>
    <w:autoRedefine/>
    <w:qFormat/>
    <w:uiPriority w:val="0"/>
    <w:pPr>
      <w:spacing w:beforeAutospacing="1" w:afterAutospacing="1"/>
      <w:jc w:val="left"/>
      <w:outlineLvl w:val="3"/>
    </w:pPr>
    <w:rPr>
      <w:rFonts w:ascii="宋体" w:cs="Times New Roman"/>
      <w:b/>
      <w:bCs/>
      <w:kern w:val="0"/>
      <w:szCs w:val="24"/>
    </w:rPr>
  </w:style>
  <w:style w:type="paragraph" w:styleId="6">
    <w:name w:val="heading 5"/>
    <w:basedOn w:val="1"/>
    <w:next w:val="1"/>
    <w:autoRedefine/>
    <w:qFormat/>
    <w:uiPriority w:val="0"/>
    <w:pPr>
      <w:keepNext/>
      <w:keepLines/>
      <w:widowControl w:val="0"/>
      <w:spacing w:before="280" w:after="290" w:line="377" w:lineRule="auto"/>
      <w:outlineLvl w:val="4"/>
    </w:pPr>
    <w:rPr>
      <w:rFonts w:eastAsia="黑体"/>
      <w:bCs/>
      <w:sz w:val="30"/>
      <w:szCs w:val="28"/>
    </w:rPr>
  </w:style>
  <w:style w:type="paragraph" w:styleId="7">
    <w:name w:val="heading 6"/>
    <w:basedOn w:val="1"/>
    <w:next w:val="1"/>
    <w:autoRedefine/>
    <w:qFormat/>
    <w:uiPriority w:val="0"/>
    <w:pPr>
      <w:spacing w:beforeAutospacing="1" w:afterAutospacing="1"/>
      <w:jc w:val="left"/>
      <w:outlineLvl w:val="5"/>
    </w:pPr>
    <w:rPr>
      <w:rFonts w:ascii="宋体" w:cs="Times New Roman"/>
      <w:b/>
      <w:bCs/>
      <w:kern w:val="0"/>
      <w:sz w:val="15"/>
      <w:szCs w:val="15"/>
    </w:rPr>
  </w:style>
  <w:style w:type="character" w:default="1" w:styleId="32">
    <w:name w:val="Default Paragraph Font"/>
    <w:qFormat/>
    <w:uiPriority w:val="0"/>
  </w:style>
  <w:style w:type="table" w:default="1" w:styleId="31">
    <w:name w:val="Normal Table"/>
    <w:semiHidden/>
    <w:qFormat/>
    <w:uiPriority w:val="0"/>
    <w:tblPr>
      <w:tblCellMar>
        <w:top w:w="0" w:type="dxa"/>
        <w:left w:w="108" w:type="dxa"/>
        <w:bottom w:w="0" w:type="dxa"/>
        <w:right w:w="108" w:type="dxa"/>
      </w:tblCellMar>
    </w:tblPr>
  </w:style>
  <w:style w:type="paragraph" w:styleId="8">
    <w:name w:val="Normal Indent"/>
    <w:basedOn w:val="1"/>
    <w:autoRedefine/>
    <w:qFormat/>
    <w:uiPriority w:val="0"/>
    <w:pPr>
      <w:widowControl/>
      <w:ind w:firstLine="420"/>
      <w:jc w:val="left"/>
    </w:pPr>
    <w:rPr>
      <w:rFonts w:cs="Times New Roman"/>
      <w:sz w:val="21"/>
    </w:rPr>
  </w:style>
  <w:style w:type="paragraph" w:styleId="9">
    <w:name w:val="annotation text"/>
    <w:basedOn w:val="1"/>
    <w:autoRedefine/>
    <w:qFormat/>
    <w:uiPriority w:val="0"/>
    <w:pPr>
      <w:jc w:val="left"/>
    </w:pPr>
    <w:rPr>
      <w:rFonts w:ascii="宋体" w:eastAsia="宋体" w:cs="Times New Roman"/>
      <w:sz w:val="21"/>
      <w:szCs w:val="24"/>
    </w:rPr>
  </w:style>
  <w:style w:type="paragraph" w:styleId="10">
    <w:name w:val="Body Text"/>
    <w:basedOn w:val="1"/>
    <w:next w:val="1"/>
    <w:autoRedefine/>
    <w:qFormat/>
    <w:uiPriority w:val="0"/>
    <w:pPr>
      <w:spacing w:line="480" w:lineRule="atLeast"/>
      <w:ind w:firstLine="200" w:firstLineChars="200"/>
    </w:pPr>
    <w:rPr>
      <w:rFonts w:ascii="楷体_GB2312" w:eastAsia="楷体_GB2312" w:cs="Times New Roman"/>
      <w:b/>
      <w:sz w:val="30"/>
      <w:szCs w:val="20"/>
    </w:rPr>
  </w:style>
  <w:style w:type="paragraph" w:styleId="11">
    <w:name w:val="Body Text Indent"/>
    <w:basedOn w:val="1"/>
    <w:autoRedefine/>
    <w:qFormat/>
    <w:uiPriority w:val="0"/>
    <w:pPr>
      <w:spacing w:after="120"/>
      <w:ind w:left="200" w:leftChars="200"/>
    </w:pPr>
    <w:rPr>
      <w:rFonts w:ascii="Times New Roman" w:hAnsi="Times New Roman" w:cs="Times New Roman"/>
      <w:sz w:val="21"/>
      <w:szCs w:val="20"/>
    </w:rPr>
  </w:style>
  <w:style w:type="paragraph" w:styleId="12">
    <w:name w:val="Plain Text"/>
    <w:basedOn w:val="1"/>
    <w:autoRedefine/>
    <w:qFormat/>
    <w:uiPriority w:val="0"/>
    <w:rPr>
      <w:rFonts w:ascii="宋体" w:cs="Times New Roman"/>
      <w:sz w:val="21"/>
      <w:szCs w:val="20"/>
    </w:rPr>
  </w:style>
  <w:style w:type="paragraph" w:styleId="13">
    <w:name w:val="Balloon Text"/>
    <w:basedOn w:val="1"/>
    <w:autoRedefine/>
    <w:qFormat/>
    <w:uiPriority w:val="0"/>
    <w:rPr>
      <w:sz w:val="18"/>
      <w:szCs w:val="18"/>
    </w:rPr>
  </w:style>
  <w:style w:type="paragraph" w:styleId="14">
    <w:name w:val="footer"/>
    <w:basedOn w:val="1"/>
    <w:autoRedefine/>
    <w:qFormat/>
    <w:uiPriority w:val="0"/>
    <w:pPr>
      <w:tabs>
        <w:tab w:val="center" w:pos="4153"/>
        <w:tab w:val="right" w:pos="8306"/>
      </w:tabs>
      <w:snapToGrid w:val="0"/>
      <w:jc w:val="left"/>
    </w:pPr>
    <w:rPr>
      <w:sz w:val="18"/>
      <w:szCs w:val="18"/>
    </w:rPr>
  </w:style>
  <w:style w:type="paragraph" w:styleId="15">
    <w:name w:val="envelope return"/>
    <w:basedOn w:val="1"/>
    <w:autoRedefine/>
    <w:qFormat/>
    <w:uiPriority w:val="0"/>
    <w:pPr>
      <w:snapToGrid w:val="0"/>
    </w:pPr>
    <w:rPr>
      <w:rFonts w:ascii="Arial" w:hAnsi="Arial" w:cs="Times New Roman"/>
      <w:sz w:val="21"/>
      <w:szCs w:val="20"/>
    </w:rPr>
  </w:style>
  <w:style w:type="paragraph" w:styleId="16">
    <w:name w:val="header"/>
    <w:basedOn w:val="1"/>
    <w:autoRedefine/>
    <w:qFormat/>
    <w:uiPriority w:val="0"/>
    <w:pPr>
      <w:pBdr>
        <w:bottom w:val="single" w:color="auto" w:sz="6" w:space="1"/>
      </w:pBdr>
      <w:tabs>
        <w:tab w:val="center" w:pos="4153"/>
        <w:tab w:val="right" w:pos="8306"/>
      </w:tabs>
      <w:snapToGrid w:val="0"/>
      <w:jc w:val="center"/>
    </w:pPr>
    <w:rPr>
      <w:rFonts w:ascii="Times New Roman" w:hAnsi="Times New Roman" w:cs="Times New Roman"/>
      <w:sz w:val="18"/>
      <w:szCs w:val="18"/>
    </w:rPr>
  </w:style>
  <w:style w:type="paragraph" w:styleId="17">
    <w:name w:val="Signature"/>
    <w:basedOn w:val="1"/>
    <w:autoRedefine/>
    <w:qFormat/>
    <w:uiPriority w:val="0"/>
    <w:pPr>
      <w:ind w:left="4320"/>
    </w:pPr>
  </w:style>
  <w:style w:type="paragraph" w:styleId="18">
    <w:name w:val="Subtitle"/>
    <w:basedOn w:val="1"/>
    <w:next w:val="1"/>
    <w:autoRedefine/>
    <w:qFormat/>
    <w:uiPriority w:val="0"/>
    <w:pPr>
      <w:snapToGrid w:val="0"/>
      <w:spacing w:before="100" w:beforeLines="100"/>
      <w:jc w:val="left"/>
      <w:outlineLvl w:val="1"/>
    </w:pPr>
    <w:rPr>
      <w:rFonts w:ascii="Calibri Light" w:hAnsi="Calibri Light" w:cs="Times New Roman"/>
      <w:b/>
      <w:bCs/>
      <w:kern w:val="28"/>
      <w:szCs w:val="32"/>
    </w:rPr>
  </w:style>
  <w:style w:type="paragraph" w:styleId="19">
    <w:name w:val="Body Text Indent 3"/>
    <w:basedOn w:val="1"/>
    <w:autoRedefine/>
    <w:qFormat/>
    <w:uiPriority w:val="0"/>
    <w:pPr>
      <w:spacing w:line="360" w:lineRule="auto"/>
      <w:ind w:firstLine="200" w:firstLineChars="200"/>
    </w:pPr>
    <w:rPr>
      <w:szCs w:val="20"/>
    </w:rPr>
  </w:style>
  <w:style w:type="paragraph" w:styleId="20">
    <w:name w:val="toc 2"/>
    <w:basedOn w:val="1"/>
    <w:next w:val="1"/>
    <w:autoRedefine/>
    <w:qFormat/>
    <w:uiPriority w:val="0"/>
    <w:pPr>
      <w:tabs>
        <w:tab w:val="right" w:leader="dot" w:pos="9180"/>
      </w:tabs>
      <w:spacing w:line="360" w:lineRule="auto"/>
      <w:ind w:left="210"/>
      <w:jc w:val="left"/>
    </w:pPr>
    <w:rPr>
      <w:rFonts w:eastAsia="等线" w:cs="Times New Roman"/>
      <w:smallCaps/>
      <w:sz w:val="21"/>
      <w:szCs w:val="24"/>
    </w:rPr>
  </w:style>
  <w:style w:type="paragraph" w:styleId="21">
    <w:name w:val="Body Text 2"/>
    <w:basedOn w:val="1"/>
    <w:autoRedefine/>
    <w:qFormat/>
    <w:uiPriority w:val="0"/>
    <w:pPr>
      <w:spacing w:after="120" w:line="480" w:lineRule="auto"/>
    </w:pPr>
  </w:style>
  <w:style w:type="paragraph" w:styleId="22">
    <w:name w:val="Message Header"/>
    <w:basedOn w:val="1"/>
    <w:next w:val="10"/>
    <w:autoRedefine/>
    <w:qFormat/>
    <w:uiPriority w:val="0"/>
    <w:pPr>
      <w:shd w:val="pct20" w:color="auto" w:fill="auto"/>
      <w:kinsoku w:val="0"/>
      <w:overflowPunct w:val="0"/>
    </w:pPr>
    <w:rPr>
      <w:rFonts w:ascii="Arial" w:hAnsi="Arial"/>
      <w:color w:val="000000"/>
      <w:sz w:val="28"/>
      <w:szCs w:val="24"/>
    </w:rPr>
  </w:style>
  <w:style w:type="paragraph" w:styleId="23">
    <w:name w:val="HTML Preformatted"/>
    <w:basedOn w:val="1"/>
    <w:autoRedefine/>
    <w:qFormat/>
    <w:uiPriority w:val="0"/>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ascii="黑体" w:eastAsia="黑体"/>
      <w:kern w:val="0"/>
      <w:sz w:val="20"/>
    </w:rPr>
  </w:style>
  <w:style w:type="paragraph" w:styleId="24">
    <w:name w:val="Normal (Web)"/>
    <w:basedOn w:val="1"/>
    <w:autoRedefine/>
    <w:qFormat/>
    <w:uiPriority w:val="0"/>
    <w:pPr>
      <w:widowControl/>
      <w:spacing w:before="150" w:after="150" w:line="480" w:lineRule="atLeast"/>
      <w:ind w:firstLine="480"/>
      <w:jc w:val="left"/>
      <w:textAlignment w:val="baseline"/>
    </w:pPr>
    <w:rPr>
      <w:rFonts w:ascii="宋体" w:cs="宋体"/>
      <w:kern w:val="0"/>
      <w:szCs w:val="24"/>
    </w:rPr>
  </w:style>
  <w:style w:type="paragraph" w:styleId="25">
    <w:name w:val="Title"/>
    <w:basedOn w:val="1"/>
    <w:next w:val="1"/>
    <w:autoRedefine/>
    <w:qFormat/>
    <w:uiPriority w:val="0"/>
    <w:pPr>
      <w:spacing w:before="240" w:after="60"/>
      <w:jc w:val="center"/>
      <w:outlineLvl w:val="0"/>
    </w:pPr>
    <w:rPr>
      <w:rFonts w:ascii="Arial" w:hAnsi="Arial" w:cs="Arial"/>
      <w:b/>
      <w:bCs/>
      <w:sz w:val="32"/>
      <w:szCs w:val="32"/>
    </w:rPr>
  </w:style>
  <w:style w:type="paragraph" w:styleId="26">
    <w:name w:val="annotation subject"/>
    <w:basedOn w:val="9"/>
    <w:next w:val="9"/>
    <w:autoRedefine/>
    <w:qFormat/>
    <w:uiPriority w:val="0"/>
    <w:rPr>
      <w:rFonts w:ascii="等线" w:hAnsi="等线" w:cs="黑体"/>
      <w:b/>
      <w:bCs/>
      <w:sz w:val="24"/>
      <w:szCs w:val="22"/>
    </w:rPr>
  </w:style>
  <w:style w:type="paragraph" w:styleId="27">
    <w:name w:val="Body Text First Indent"/>
    <w:basedOn w:val="10"/>
    <w:autoRedefine/>
    <w:qFormat/>
    <w:uiPriority w:val="0"/>
    <w:pPr>
      <w:spacing w:line="360" w:lineRule="auto"/>
      <w:ind w:firstLine="100" w:firstLineChars="100"/>
    </w:pPr>
  </w:style>
  <w:style w:type="paragraph" w:styleId="28">
    <w:name w:val="Body Text First Indent 2"/>
    <w:basedOn w:val="29"/>
    <w:autoRedefine/>
    <w:qFormat/>
    <w:uiPriority w:val="0"/>
    <w:pPr>
      <w:ind w:firstLine="200" w:firstLineChars="200"/>
    </w:pPr>
    <w:rPr>
      <w:rFonts w:ascii="楷体_GB2312" w:eastAsia="楷体_GB2312"/>
      <w:sz w:val="28"/>
    </w:rPr>
  </w:style>
  <w:style w:type="paragraph" w:customStyle="1" w:styleId="29">
    <w:name w:val="正文文本缩进_0"/>
    <w:basedOn w:val="30"/>
    <w:autoRedefine/>
    <w:qFormat/>
    <w:uiPriority w:val="0"/>
    <w:pPr>
      <w:spacing w:line="600" w:lineRule="exact"/>
      <w:ind w:firstLine="600"/>
    </w:pPr>
  </w:style>
  <w:style w:type="paragraph" w:customStyle="1" w:styleId="30">
    <w:name w:val="正文_1"/>
    <w:next w:val="28"/>
    <w:autoRedefine/>
    <w:qFormat/>
    <w:uiPriority w:val="0"/>
    <w:pPr>
      <w:widowControl w:val="0"/>
      <w:jc w:val="both"/>
    </w:pPr>
    <w:rPr>
      <w:rFonts w:ascii="Calibri" w:hAnsi="Calibri" w:eastAsia="宋体" w:cs="Times New Roman"/>
      <w:kern w:val="2"/>
      <w:sz w:val="21"/>
      <w:szCs w:val="22"/>
      <w:lang w:val="en-US" w:eastAsia="zh-CN" w:bidi="ar-SA"/>
    </w:rPr>
  </w:style>
  <w:style w:type="character" w:styleId="33">
    <w:name w:val="Strong"/>
    <w:basedOn w:val="32"/>
    <w:autoRedefine/>
    <w:qFormat/>
    <w:uiPriority w:val="0"/>
    <w:rPr>
      <w:b/>
      <w:bCs/>
    </w:rPr>
  </w:style>
  <w:style w:type="character" w:styleId="34">
    <w:name w:val="page number"/>
    <w:basedOn w:val="32"/>
    <w:autoRedefine/>
    <w:qFormat/>
    <w:uiPriority w:val="0"/>
  </w:style>
  <w:style w:type="character" w:styleId="35">
    <w:name w:val="Emphasis"/>
    <w:basedOn w:val="32"/>
    <w:autoRedefine/>
    <w:qFormat/>
    <w:uiPriority w:val="0"/>
    <w:rPr>
      <w:i/>
    </w:rPr>
  </w:style>
  <w:style w:type="character" w:styleId="36">
    <w:name w:val="Hyperlink"/>
    <w:basedOn w:val="32"/>
    <w:autoRedefine/>
    <w:qFormat/>
    <w:uiPriority w:val="0"/>
    <w:rPr>
      <w:color w:val="0000FF"/>
      <w:u w:val="single"/>
    </w:rPr>
  </w:style>
  <w:style w:type="character" w:styleId="37">
    <w:name w:val="annotation reference"/>
    <w:basedOn w:val="32"/>
    <w:autoRedefine/>
    <w:qFormat/>
    <w:uiPriority w:val="0"/>
    <w:rPr>
      <w:rFonts w:ascii="Tahoma" w:hAnsi="Tahoma"/>
      <w:kern w:val="2"/>
      <w:sz w:val="21"/>
      <w:szCs w:val="21"/>
    </w:rPr>
  </w:style>
  <w:style w:type="paragraph" w:customStyle="1" w:styleId="38">
    <w:name w:val="正文1"/>
    <w:basedOn w:val="30"/>
    <w:next w:val="39"/>
    <w:autoRedefine/>
    <w:qFormat/>
    <w:uiPriority w:val="0"/>
    <w:pPr>
      <w:adjustRightInd w:val="0"/>
      <w:spacing w:line="360" w:lineRule="atLeast"/>
      <w:textAlignment w:val="baseline"/>
    </w:pPr>
    <w:rPr>
      <w:rFonts w:ascii="Times New Roman" w:hAnsi="Times New Roman"/>
    </w:rPr>
  </w:style>
  <w:style w:type="paragraph" w:customStyle="1" w:styleId="39">
    <w:name w:val="普通正文"/>
    <w:basedOn w:val="38"/>
    <w:autoRedefine/>
    <w:qFormat/>
    <w:uiPriority w:val="0"/>
    <w:pPr>
      <w:ind w:firstLine="425"/>
    </w:pPr>
    <w:rPr>
      <w:kern w:val="21"/>
    </w:rPr>
  </w:style>
  <w:style w:type="paragraph" w:customStyle="1" w:styleId="40">
    <w:name w:val="Quote1"/>
    <w:basedOn w:val="1"/>
    <w:next w:val="1"/>
    <w:autoRedefine/>
    <w:qFormat/>
    <w:uiPriority w:val="0"/>
    <w:pPr>
      <w:widowControl/>
      <w:wordWrap w:val="0"/>
      <w:spacing w:before="200" w:after="160"/>
      <w:ind w:left="864" w:right="864"/>
      <w:jc w:val="center"/>
    </w:pPr>
    <w:rPr>
      <w:rFonts w:ascii="宋体"/>
      <w:i/>
      <w:color w:val="404040"/>
    </w:rPr>
  </w:style>
  <w:style w:type="paragraph" w:customStyle="1" w:styleId="41">
    <w:name w:val="Default"/>
    <w:autoRedefine/>
    <w:qFormat/>
    <w:uiPriority w:val="0"/>
    <w:pPr>
      <w:widowControl w:val="0"/>
      <w:autoSpaceDE w:val="0"/>
      <w:autoSpaceDN w:val="0"/>
      <w:adjustRightInd w:val="0"/>
    </w:pPr>
    <w:rPr>
      <w:rFonts w:ascii="宋体" w:hAnsi="Times New Roman" w:eastAsia="宋体" w:cs="宋体"/>
      <w:color w:val="000000"/>
      <w:sz w:val="24"/>
      <w:szCs w:val="24"/>
      <w:lang w:val="en-US" w:eastAsia="zh-CN" w:bidi="ar-SA"/>
    </w:rPr>
  </w:style>
  <w:style w:type="paragraph" w:customStyle="1" w:styleId="42">
    <w:name w:val="Char1 Char"/>
    <w:basedOn w:val="1"/>
    <w:autoRedefine/>
    <w:qFormat/>
    <w:uiPriority w:val="0"/>
    <w:pPr>
      <w:numPr>
        <w:ilvl w:val="0"/>
        <w:numId w:val="1"/>
      </w:numPr>
    </w:pPr>
    <w:rPr>
      <w:rFonts w:ascii="Times New Roman" w:hAnsi="Times New Roman" w:cs="Times New Roman"/>
      <w:szCs w:val="24"/>
    </w:rPr>
  </w:style>
  <w:style w:type="paragraph" w:customStyle="1" w:styleId="43">
    <w:name w:val="正文_17"/>
    <w:autoRedefine/>
    <w:qFormat/>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44">
    <w:name w:val="正文 New"/>
    <w:autoRedefine/>
    <w:qFormat/>
    <w:uiPriority w:val="0"/>
    <w:pPr>
      <w:widowControl w:val="0"/>
      <w:spacing w:after="200" w:line="276" w:lineRule="auto"/>
      <w:ind w:left="839" w:hanging="357"/>
      <w:jc w:val="both"/>
    </w:pPr>
    <w:rPr>
      <w:rFonts w:ascii="Times New Roman" w:hAnsi="Times New Roman" w:eastAsia="宋体" w:cs="Times New Roman"/>
      <w:sz w:val="22"/>
      <w:szCs w:val="22"/>
      <w:lang w:val="en-US" w:eastAsia="zh-CN" w:bidi="ar-SA"/>
    </w:rPr>
  </w:style>
  <w:style w:type="paragraph" w:customStyle="1" w:styleId="45">
    <w:name w:val="列表段落1"/>
    <w:basedOn w:val="1"/>
    <w:autoRedefine/>
    <w:qFormat/>
    <w:uiPriority w:val="0"/>
    <w:pPr>
      <w:ind w:firstLine="200" w:firstLineChars="200"/>
    </w:pPr>
    <w:rPr>
      <w:rFonts w:ascii="Times New Roman" w:hAnsi="Times New Roman" w:cs="Times New Roman"/>
      <w:sz w:val="21"/>
    </w:rPr>
  </w:style>
  <w:style w:type="paragraph" w:customStyle="1" w:styleId="46">
    <w:name w:val="正文_17_1"/>
    <w:autoRedefine/>
    <w:qFormat/>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47">
    <w:name w:val="表"/>
    <w:basedOn w:val="1"/>
    <w:autoRedefine/>
    <w:qFormat/>
    <w:uiPriority w:val="0"/>
    <w:pPr>
      <w:spacing w:line="360" w:lineRule="auto"/>
    </w:pPr>
    <w:rPr>
      <w:rFonts w:ascii="宋体" w:cs="Times New Roman"/>
      <w:b/>
      <w:bCs/>
      <w:sz w:val="21"/>
      <w:szCs w:val="20"/>
    </w:rPr>
  </w:style>
  <w:style w:type="paragraph" w:customStyle="1" w:styleId="48">
    <w:name w:val="p-title"/>
    <w:basedOn w:val="1"/>
    <w:autoRedefine/>
    <w:qFormat/>
    <w:uiPriority w:val="0"/>
    <w:pPr>
      <w:widowControl/>
      <w:spacing w:before="100" w:beforeAutospacing="1" w:after="100" w:afterAutospacing="1"/>
      <w:jc w:val="center"/>
    </w:pPr>
    <w:rPr>
      <w:rFonts w:ascii="宋体" w:cs="宋体"/>
      <w:kern w:val="0"/>
      <w:szCs w:val="24"/>
    </w:rPr>
  </w:style>
  <w:style w:type="paragraph" w:customStyle="1" w:styleId="49">
    <w:name w:val="text-indent0"/>
    <w:basedOn w:val="1"/>
    <w:autoRedefine/>
    <w:qFormat/>
    <w:uiPriority w:val="0"/>
    <w:pPr>
      <w:widowControl/>
      <w:spacing w:before="100" w:beforeAutospacing="1" w:after="100" w:afterAutospacing="1"/>
      <w:jc w:val="left"/>
    </w:pPr>
    <w:rPr>
      <w:rFonts w:ascii="宋体" w:cs="宋体"/>
      <w:kern w:val="0"/>
      <w:szCs w:val="24"/>
    </w:rPr>
  </w:style>
  <w:style w:type="paragraph" w:customStyle="1" w:styleId="50">
    <w:name w:val="1"/>
    <w:basedOn w:val="1"/>
    <w:next w:val="12"/>
    <w:autoRedefine/>
    <w:qFormat/>
    <w:uiPriority w:val="0"/>
    <w:rPr>
      <w:rFonts w:ascii="宋体" w:cs="Times New Roman"/>
      <w:sz w:val="21"/>
      <w:szCs w:val="20"/>
    </w:rPr>
  </w:style>
  <w:style w:type="paragraph" w:customStyle="1" w:styleId="51">
    <w:name w:val="正文_13"/>
    <w:autoRedefine/>
    <w:qFormat/>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52">
    <w:name w:val="正文_3"/>
    <w:autoRedefine/>
    <w:qFormat/>
    <w:uiPriority w:val="0"/>
    <w:pPr>
      <w:widowControl w:val="0"/>
      <w:jc w:val="both"/>
    </w:pPr>
    <w:rPr>
      <w:rFonts w:ascii="Calibri" w:hAnsi="Calibri" w:eastAsia="宋体" w:cs="Times New Roman"/>
      <w:kern w:val="2"/>
      <w:sz w:val="21"/>
      <w:szCs w:val="22"/>
      <w:lang w:val="en-US" w:eastAsia="zh-CN" w:bidi="ar-SA"/>
    </w:rPr>
  </w:style>
  <w:style w:type="paragraph" w:customStyle="1" w:styleId="53">
    <w:name w:val="正文_16"/>
    <w:autoRedefine/>
    <w:qFormat/>
    <w:uiPriority w:val="0"/>
    <w:pPr>
      <w:widowControl w:val="0"/>
      <w:jc w:val="both"/>
    </w:pPr>
    <w:rPr>
      <w:rFonts w:ascii="Calibri" w:hAnsi="Calibri" w:eastAsia="宋体" w:cs="Times New Roman"/>
      <w:kern w:val="2"/>
      <w:sz w:val="21"/>
      <w:szCs w:val="22"/>
      <w:lang w:val="en-US" w:eastAsia="zh-CN" w:bidi="ar-SA"/>
    </w:rPr>
  </w:style>
  <w:style w:type="paragraph" w:customStyle="1" w:styleId="54">
    <w:name w:val="正文_2_0"/>
    <w:autoRedefine/>
    <w:qFormat/>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55">
    <w:name w:val="正文_6"/>
    <w:autoRedefine/>
    <w:qFormat/>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56">
    <w:name w:val="Normal_16"/>
    <w:autoRedefine/>
    <w:qFormat/>
    <w:uiPriority w:val="0"/>
    <w:rPr>
      <w:rFonts w:ascii="Times New Roman" w:hAnsi="Times New Roman" w:eastAsia="宋体" w:cs="Times New Roman"/>
      <w:sz w:val="21"/>
      <w:lang w:val="en-US" w:eastAsia="zh-CN" w:bidi="ar-SA"/>
    </w:rPr>
  </w:style>
  <w:style w:type="paragraph" w:customStyle="1" w:styleId="57">
    <w:name w:val="彩色列表 - 强调文字颜色 11"/>
    <w:autoRedefine/>
    <w:qFormat/>
    <w:uiPriority w:val="0"/>
    <w:pPr>
      <w:ind w:firstLine="200" w:firstLineChars="200"/>
    </w:pPr>
    <w:rPr>
      <w:rFonts w:ascii="Times New Roman" w:hAnsi="Times New Roman" w:eastAsia="宋体" w:cs="Times New Roman"/>
      <w:lang w:val="en-US" w:eastAsia="zh-CN" w:bidi="ar-SA"/>
    </w:rPr>
  </w:style>
  <w:style w:type="character" w:customStyle="1" w:styleId="58">
    <w:name w:val="p141"/>
    <w:autoRedefine/>
    <w:qFormat/>
    <w:uiPriority w:val="0"/>
    <w:rPr>
      <w:sz w:val="21"/>
      <w:szCs w:val="21"/>
    </w:rPr>
  </w:style>
  <w:style w:type="character" w:customStyle="1" w:styleId="59">
    <w:name w:val="active1"/>
    <w:basedOn w:val="32"/>
    <w:autoRedefine/>
    <w:qFormat/>
    <w:uiPriority w:val="0"/>
    <w:rPr>
      <w:color w:val="C0C4CC"/>
    </w:rPr>
  </w:style>
  <w:style w:type="character" w:customStyle="1" w:styleId="60">
    <w:name w:val="checkbox[data-v-fe0f198c]"/>
    <w:basedOn w:val="32"/>
    <w:autoRedefine/>
    <w:qFormat/>
    <w:uiPriority w:val="0"/>
    <w:rPr>
      <w:bdr w:val="single" w:color="DDDDDD" w:sz="6" w:space="0"/>
    </w:rPr>
  </w:style>
  <w:style w:type="character" w:customStyle="1" w:styleId="61">
    <w:name w:val="not([class*=suffix])"/>
    <w:basedOn w:val="32"/>
    <w:autoRedefine/>
    <w:qFormat/>
    <w:uiPriority w:val="0"/>
  </w:style>
  <w:style w:type="character" w:customStyle="1" w:styleId="62">
    <w:name w:val="before"/>
    <w:basedOn w:val="32"/>
    <w:autoRedefine/>
    <w:qFormat/>
    <w:uiPriority w:val="0"/>
    <w:rPr>
      <w:bdr w:val="single" w:color="FFFFFF" w:sz="6" w:space="0"/>
    </w:rPr>
  </w:style>
  <w:style w:type="character" w:customStyle="1" w:styleId="63">
    <w:name w:val="font31"/>
    <w:autoRedefine/>
    <w:qFormat/>
    <w:uiPriority w:val="0"/>
    <w:rPr>
      <w:rFonts w:ascii="宋体" w:eastAsia="宋体" w:cs="宋体"/>
      <w:color w:val="000000"/>
      <w:sz w:val="22"/>
      <w:szCs w:val="22"/>
      <w:u w:val="none"/>
    </w:rPr>
  </w:style>
  <w:style w:type="character" w:customStyle="1" w:styleId="64">
    <w:name w:val="纯文本 字符1"/>
    <w:autoRedefine/>
    <w:qFormat/>
    <w:uiPriority w:val="0"/>
    <w:rPr>
      <w:rFonts w:ascii="宋体" w:hAnsi="宋体" w:eastAsia="等线" w:cs="Courier New"/>
      <w:sz w:val="21"/>
      <w:szCs w:val="21"/>
    </w:rPr>
  </w:style>
  <w:style w:type="character" w:customStyle="1" w:styleId="65">
    <w:name w:val="font01"/>
    <w:basedOn w:val="32"/>
    <w:autoRedefine/>
    <w:qFormat/>
    <w:uiPriority w:val="0"/>
    <w:rPr>
      <w:rFonts w:ascii="宋体" w:eastAsia="宋体" w:cs="宋体"/>
      <w:color w:val="FF0000"/>
      <w:sz w:val="22"/>
      <w:szCs w:val="22"/>
      <w:u w:val="none"/>
    </w:rPr>
  </w:style>
  <w:style w:type="character" w:customStyle="1" w:styleId="66">
    <w:name w:val="not([class*=suffix])1"/>
    <w:basedOn w:val="32"/>
    <w:autoRedefine/>
    <w:qFormat/>
    <w:uiPriority w:val="0"/>
    <w:rPr>
      <w:sz w:val="19"/>
      <w:szCs w:val="19"/>
    </w:rPr>
  </w:style>
  <w:style w:type="character" w:customStyle="1" w:styleId="67">
    <w:name w:val="hover3"/>
    <w:basedOn w:val="32"/>
    <w:autoRedefine/>
    <w:qFormat/>
    <w:uiPriority w:val="0"/>
    <w:rPr>
      <w:color w:val="C0C4CC"/>
    </w:rPr>
  </w:style>
  <w:style w:type="paragraph" w:customStyle="1" w:styleId="68">
    <w:name w:val="正文_0"/>
    <w:next w:val="69"/>
    <w:autoRedefine/>
    <w:qFormat/>
    <w:uiPriority w:val="0"/>
    <w:pPr>
      <w:widowControl w:val="0"/>
      <w:jc w:val="both"/>
    </w:pPr>
    <w:rPr>
      <w:rFonts w:ascii="Calibri" w:hAnsi="Calibri" w:eastAsia="宋体" w:cs="Times New Roman"/>
      <w:kern w:val="2"/>
      <w:sz w:val="21"/>
      <w:szCs w:val="22"/>
      <w:lang w:val="en-US" w:eastAsia="zh-CN" w:bidi="ar-SA"/>
    </w:rPr>
  </w:style>
  <w:style w:type="paragraph" w:customStyle="1" w:styleId="69">
    <w:name w:val="表格文字"/>
    <w:basedOn w:val="1"/>
    <w:autoRedefine/>
    <w:qFormat/>
    <w:uiPriority w:val="0"/>
    <w:pPr>
      <w:spacing w:before="25" w:after="25"/>
    </w:pPr>
    <w:rPr>
      <w:bCs/>
      <w:spacing w:val="10"/>
    </w:rPr>
  </w:style>
  <w:style w:type="paragraph" w:customStyle="1" w:styleId="70">
    <w:name w:val="列出段落1"/>
    <w:basedOn w:val="1"/>
    <w:autoRedefine/>
    <w:qFormat/>
    <w:uiPriority w:val="0"/>
    <w:pPr>
      <w:ind w:firstLine="200" w:firstLineChars="200"/>
    </w:pPr>
    <w:rPr>
      <w:rFonts w:eastAsia="Arial" w:cs="Times New Roman"/>
      <w:szCs w:val="20"/>
    </w:rPr>
  </w:style>
  <w:style w:type="paragraph" w:customStyle="1" w:styleId="71">
    <w:name w:val="列出段落_0"/>
    <w:basedOn w:val="1"/>
    <w:autoRedefine/>
    <w:qFormat/>
    <w:uiPriority w:val="0"/>
    <w:pPr>
      <w:ind w:firstLine="200" w:firstLineChars="200"/>
    </w:pPr>
    <w:rPr>
      <w:rFonts w:ascii="Calibri" w:hAnsi="Calibri"/>
      <w:sz w:val="21"/>
    </w:rPr>
  </w:style>
  <w:style w:type="character" w:customStyle="1" w:styleId="72">
    <w:name w:val="font51"/>
    <w:basedOn w:val="32"/>
    <w:autoRedefine/>
    <w:qFormat/>
    <w:uiPriority w:val="0"/>
    <w:rPr>
      <w:rFonts w:ascii="宋体" w:eastAsia="宋体" w:cs="宋体"/>
      <w:color w:val="000000"/>
      <w:sz w:val="24"/>
      <w:szCs w:val="24"/>
      <w:u w:val="none"/>
      <w:vertAlign w:val="superscript"/>
    </w:rPr>
  </w:style>
  <w:style w:type="paragraph" w:customStyle="1" w:styleId="73">
    <w:name w:val="Char3"/>
    <w:basedOn w:val="1"/>
    <w:autoRedefine/>
    <w:qFormat/>
    <w:uiPriority w:val="0"/>
  </w:style>
  <w:style w:type="paragraph" w:customStyle="1" w:styleId="74">
    <w:name w:val="正文_0_0_0"/>
    <w:autoRedefine/>
    <w:qFormat/>
    <w:uiPriority w:val="0"/>
    <w:pPr>
      <w:widowControl w:val="0"/>
      <w:jc w:val="both"/>
    </w:pPr>
    <w:rPr>
      <w:rFonts w:ascii="Calibri" w:hAnsi="Calibri" w:eastAsia="宋体" w:cs="Times New Roman"/>
      <w:kern w:val="2"/>
      <w:sz w:val="21"/>
      <w:szCs w:val="22"/>
      <w:lang w:val="en-US" w:eastAsia="zh-CN" w:bidi="ar-SA"/>
    </w:rPr>
  </w:style>
  <w:style w:type="paragraph" w:customStyle="1" w:styleId="75">
    <w:name w:val="null3"/>
    <w:autoRedefine/>
    <w:qFormat/>
    <w:uiPriority w:val="0"/>
    <w:rPr>
      <w:rFonts w:ascii="Calibri" w:hAnsi="Calibri" w:eastAsia="宋体" w:cs="Arial"/>
      <w:lang w:val="en-US" w:eastAsia="zh-CN" w:bidi="ar-SA"/>
    </w:rPr>
  </w:style>
  <w:style w:type="paragraph" w:customStyle="1" w:styleId="76">
    <w:name w:val="样式 标题 3H3l3CTHeading 3 - oldh3Bold Headbhlevel_3PIM 3L..."/>
    <w:basedOn w:val="4"/>
    <w:autoRedefine/>
    <w:qFormat/>
    <w:uiPriority w:val="0"/>
    <w:rPr>
      <w:rFonts w:eastAsia="黑体" w:cs="宋体"/>
      <w:szCs w:val="20"/>
    </w:rPr>
  </w:style>
  <w:style w:type="paragraph" w:customStyle="1" w:styleId="77">
    <w:name w:val="修订1"/>
    <w:autoRedefine/>
    <w:qFormat/>
    <w:uiPriority w:val="0"/>
    <w:rPr>
      <w:rFonts w:ascii="等线" w:hAnsi="等线" w:eastAsia="宋体" w:cs="黑体"/>
      <w:kern w:val="2"/>
      <w:sz w:val="24"/>
      <w:szCs w:val="22"/>
      <w:lang w:val="en-US" w:eastAsia="zh-CN" w:bidi="ar-SA"/>
    </w:rPr>
  </w:style>
  <w:style w:type="paragraph" w:customStyle="1" w:styleId="78">
    <w:name w:val="_Style 3"/>
    <w:next w:val="19"/>
    <w:autoRedefine/>
    <w:qFormat/>
    <w:uiPriority w:val="0"/>
    <w:pPr>
      <w:widowControl w:val="0"/>
      <w:jc w:val="both"/>
    </w:pPr>
    <w:rPr>
      <w:rFonts w:ascii="Calibri" w:hAnsi="Calibri" w:eastAsia="宋体" w:cs="Times New Roman"/>
      <w:kern w:val="2"/>
      <w:sz w:val="21"/>
      <w:szCs w:val="22"/>
      <w:lang w:val="en-US" w:eastAsia="zh-CN" w:bidi="ar-SA"/>
    </w:rPr>
  </w:style>
  <w:style w:type="paragraph" w:customStyle="1" w:styleId="79">
    <w:name w:val="列表段落2"/>
    <w:basedOn w:val="1"/>
    <w:autoRedefine/>
    <w:qFormat/>
    <w:uiPriority w:val="0"/>
    <w:pPr>
      <w:widowControl w:val="0"/>
      <w:suppressAutoHyphens/>
      <w:ind w:firstLine="420"/>
    </w:pPr>
    <w:rPr>
      <w:rFonts w:ascii="Calibri" w:hAnsi="Calibri"/>
      <w:lang w:eastAsia="ar-SA"/>
    </w:rPr>
  </w:style>
  <w:style w:type="paragraph" w:customStyle="1" w:styleId="80">
    <w:name w:val="Table Paragraph"/>
    <w:basedOn w:val="1"/>
    <w:autoRedefine/>
    <w:qFormat/>
    <w:uiPriority w:val="0"/>
    <w:pPr>
      <w:autoSpaceDE w:val="0"/>
      <w:autoSpaceDN w:val="0"/>
      <w:adjustRightInd w:val="0"/>
      <w:jc w:val="left"/>
    </w:pPr>
    <w:rPr>
      <w:kern w:val="0"/>
    </w:rPr>
  </w:style>
  <w:style w:type="character" w:customStyle="1" w:styleId="81">
    <w:name w:val="p141_0"/>
    <w:autoRedefine/>
    <w:qFormat/>
    <w:uiPriority w:val="0"/>
    <w:rPr>
      <w:rFonts w:ascii="Calibri" w:hAnsi="Calibri"/>
      <w:sz w:val="21"/>
      <w:szCs w:val="21"/>
    </w:rPr>
  </w:style>
  <w:style w:type="paragraph" w:customStyle="1" w:styleId="82">
    <w:name w:val="正文文字缩进 2"/>
    <w:basedOn w:val="1"/>
    <w:autoRedefine/>
    <w:qFormat/>
    <w:uiPriority w:val="0"/>
    <w:pPr>
      <w:widowControl/>
      <w:spacing w:line="351" w:lineRule="atLeast"/>
      <w:ind w:firstLine="481"/>
    </w:pPr>
    <w:rPr>
      <w:rFonts w:ascii="仿宋_GB2312" w:eastAsia="仿宋_GB2312"/>
      <w:color w:val="000000"/>
      <w:szCs w:val="20"/>
    </w:rPr>
  </w:style>
  <w:style w:type="paragraph" w:customStyle="1" w:styleId="83">
    <w:name w:val="修订2"/>
    <w:autoRedefine/>
    <w:qFormat/>
    <w:uiPriority w:val="0"/>
    <w:rPr>
      <w:rFonts w:ascii="等线" w:hAnsi="等线" w:eastAsia="宋体" w:cs="黑体"/>
      <w:kern w:val="2"/>
      <w:sz w:val="24"/>
      <w:szCs w:val="22"/>
      <w:lang w:val="en-US" w:eastAsia="zh-CN" w:bidi="ar-SA"/>
    </w:rPr>
  </w:style>
  <w:style w:type="character" w:customStyle="1" w:styleId="84">
    <w:name w:val="font41"/>
    <w:autoRedefine/>
    <w:qFormat/>
    <w:uiPriority w:val="0"/>
    <w:rPr>
      <w:rFonts w:ascii="宋体" w:eastAsia="宋体" w:cs="宋体"/>
      <w:color w:val="000000"/>
      <w:sz w:val="20"/>
      <w:szCs w:val="20"/>
      <w:u w:val="none"/>
      <w:lang w:bidi="ar-SA"/>
    </w:rPr>
  </w:style>
  <w:style w:type="paragraph" w:customStyle="1" w:styleId="85">
    <w:name w:val="WPSOffice手动目录 1"/>
    <w:autoRedefine/>
    <w:qFormat/>
    <w:uiPriority w:val="0"/>
    <w:rPr>
      <w:rFonts w:ascii="Calibri" w:hAnsi="Calibri" w:eastAsia="宋体" w:cs="宋体"/>
      <w:szCs w:val="28"/>
      <w:lang w:val="en-US" w:eastAsia="zh-CN" w:bidi="ar-SA"/>
    </w:rPr>
  </w:style>
  <w:style w:type="paragraph" w:customStyle="1" w:styleId="86">
    <w:name w:val="首行缩进"/>
    <w:basedOn w:val="1"/>
    <w:autoRedefine/>
    <w:qFormat/>
    <w:uiPriority w:val="0"/>
    <w:pPr>
      <w:ind w:firstLine="200" w:firstLineChars="200"/>
    </w:pPr>
  </w:style>
  <w:style w:type="paragraph" w:customStyle="1" w:styleId="87">
    <w:name w:val="正文_37"/>
    <w:basedOn w:val="1"/>
    <w:autoRedefine/>
    <w:qFormat/>
    <w:uiPriority w:val="0"/>
  </w:style>
  <w:style w:type="paragraph" w:customStyle="1" w:styleId="88">
    <w:name w:val="修订3"/>
    <w:autoRedefine/>
    <w:qFormat/>
    <w:uiPriority w:val="0"/>
    <w:rPr>
      <w:rFonts w:ascii="等线" w:hAnsi="等线" w:eastAsia="宋体" w:cs="黑体"/>
      <w:kern w:val="2"/>
      <w:sz w:val="24"/>
      <w:szCs w:val="22"/>
      <w:lang w:val="en-US" w:eastAsia="zh-CN" w:bidi="ar-SA"/>
    </w:rPr>
  </w:style>
  <w:style w:type="paragraph" w:customStyle="1" w:styleId="89">
    <w:name w:val="修订4"/>
    <w:autoRedefine/>
    <w:qFormat/>
    <w:uiPriority w:val="0"/>
    <w:rPr>
      <w:rFonts w:ascii="等线" w:hAnsi="等线" w:eastAsia="宋体" w:cs="黑体"/>
      <w:kern w:val="2"/>
      <w:sz w:val="24"/>
      <w:szCs w:val="22"/>
      <w:lang w:val="en-US" w:eastAsia="zh-CN" w:bidi="ar-SA"/>
    </w:rPr>
  </w:style>
  <w:style w:type="paragraph" w:customStyle="1" w:styleId="90">
    <w:name w:val="AONormal"/>
    <w:autoRedefine/>
    <w:qFormat/>
    <w:uiPriority w:val="0"/>
    <w:pPr>
      <w:autoSpaceDE w:val="0"/>
      <w:autoSpaceDN w:val="0"/>
      <w:adjustRightInd w:val="0"/>
      <w:spacing w:line="400" w:lineRule="exact"/>
      <w:ind w:firstLine="200" w:firstLineChars="200"/>
    </w:pPr>
    <w:rPr>
      <w:rFonts w:ascii="华文楷体" w:hAnsi="华文楷体" w:eastAsia="华文楷体" w:cs="华文楷体"/>
      <w:sz w:val="22"/>
      <w:szCs w:val="21"/>
      <w:lang w:val="en-US" w:eastAsia="zh-CN" w:bidi="ar-SA"/>
    </w:rPr>
  </w:style>
  <w:style w:type="paragraph" w:customStyle="1" w:styleId="91">
    <w:name w:val="修订5"/>
    <w:autoRedefine/>
    <w:qFormat/>
    <w:uiPriority w:val="0"/>
    <w:rPr>
      <w:rFonts w:ascii="等线" w:hAnsi="等线" w:eastAsia="宋体" w:cs="黑体"/>
      <w:kern w:val="2"/>
      <w:sz w:val="24"/>
      <w:szCs w:val="22"/>
      <w:lang w:val="en-US" w:eastAsia="zh-CN" w:bidi="ar-SA"/>
    </w:rPr>
  </w:style>
  <w:style w:type="paragraph" w:customStyle="1" w:styleId="92">
    <w:name w:val="正文_0_1"/>
    <w:next w:val="28"/>
    <w:autoRedefine/>
    <w:qFormat/>
    <w:uiPriority w:val="0"/>
    <w:pPr>
      <w:widowControl w:val="0"/>
      <w:spacing w:after="200" w:line="276" w:lineRule="auto"/>
      <w:jc w:val="both"/>
    </w:pPr>
    <w:rPr>
      <w:rFonts w:ascii="Times New Roman" w:hAnsi="Times New Roman" w:eastAsia="宋体" w:cs="Times New Roman"/>
      <w:kern w:val="2"/>
      <w:sz w:val="21"/>
      <w:szCs w:val="24"/>
      <w:lang w:val="en-US" w:eastAsia="zh-CN" w:bidi="ar-SA"/>
    </w:rPr>
  </w:style>
  <w:style w:type="paragraph" w:customStyle="1" w:styleId="93">
    <w:name w:val="段"/>
    <w:autoRedefine/>
    <w:qFormat/>
    <w:uiPriority w:val="0"/>
    <w:pPr>
      <w:tabs>
        <w:tab w:val="center" w:pos="4201"/>
        <w:tab w:val="right" w:leader="dot" w:pos="9298"/>
      </w:tabs>
      <w:autoSpaceDE w:val="0"/>
      <w:autoSpaceDN w:val="0"/>
      <w:spacing w:after="200" w:line="276" w:lineRule="auto"/>
      <w:ind w:firstLine="200" w:firstLineChars="200"/>
      <w:jc w:val="both"/>
    </w:pPr>
    <w:rPr>
      <w:rFonts w:ascii="宋体" w:hAnsi="Times New Roman" w:eastAsia="宋体" w:cs="Times New Roman"/>
      <w:sz w:val="21"/>
      <w:lang w:val="en-US" w:eastAsia="zh-CN" w:bidi="ar-SA"/>
    </w:rPr>
  </w:style>
  <w:style w:type="character" w:customStyle="1" w:styleId="94">
    <w:name w:val="p141_1"/>
    <w:autoRedefine/>
    <w:qFormat/>
    <w:uiPriority w:val="0"/>
    <w:rPr>
      <w:rFonts w:ascii="Calibri" w:hAnsi="Calibri" w:cs="Calibri"/>
      <w:sz w:val="21"/>
      <w:szCs w:val="21"/>
      <w:lang w:val="en-US" w:eastAsia="zh-CN" w:bidi="ar-SA"/>
    </w:rPr>
  </w:style>
  <w:style w:type="paragraph" w:customStyle="1" w:styleId="95">
    <w:name w:val="正文_1_0"/>
    <w:autoRedefine/>
    <w:qFormat/>
    <w:uiPriority w:val="0"/>
    <w:pPr>
      <w:widowControl w:val="0"/>
      <w:spacing w:after="200" w:line="276" w:lineRule="auto"/>
      <w:jc w:val="both"/>
    </w:pPr>
    <w:rPr>
      <w:rFonts w:ascii="Times New Roman" w:hAnsi="Times New Roman" w:eastAsia="宋体" w:cs="Times New Roman"/>
      <w:kern w:val="2"/>
      <w:sz w:val="21"/>
      <w:szCs w:val="24"/>
      <w:lang w:val="en-US" w:eastAsia="zh-CN" w:bidi="ar-SA"/>
    </w:rPr>
  </w:style>
  <w:style w:type="paragraph" w:customStyle="1" w:styleId="96">
    <w:name w:val="修订6"/>
    <w:autoRedefine/>
    <w:qFormat/>
    <w:uiPriority w:val="0"/>
    <w:rPr>
      <w:rFonts w:ascii="等线" w:hAnsi="等线" w:eastAsia="宋体" w:cs="黑体"/>
      <w:kern w:val="2"/>
      <w:sz w:val="24"/>
      <w:szCs w:val="22"/>
      <w:lang w:val="en-US" w:eastAsia="zh-CN" w:bidi="ar-SA"/>
    </w:rPr>
  </w:style>
  <w:style w:type="paragraph" w:customStyle="1" w:styleId="97">
    <w:name w:val="修订7"/>
    <w:autoRedefine/>
    <w:qFormat/>
    <w:uiPriority w:val="0"/>
    <w:rPr>
      <w:rFonts w:ascii="等线" w:hAnsi="等线" w:eastAsia="宋体" w:cs="黑体"/>
      <w:kern w:val="2"/>
      <w:sz w:val="24"/>
      <w:szCs w:val="22"/>
      <w:lang w:val="en-US" w:eastAsia="zh-CN" w:bidi="ar-SA"/>
    </w:rPr>
  </w:style>
  <w:style w:type="paragraph" w:customStyle="1" w:styleId="98">
    <w:name w:val="样式 51 10 磅"/>
    <w:autoRedefine/>
    <w:qFormat/>
    <w:uiPriority w:val="0"/>
    <w:pPr>
      <w:widowControl w:val="0"/>
      <w:jc w:val="both"/>
    </w:pPr>
    <w:rPr>
      <w:rFonts w:ascii="Calibri" w:hAnsi="Calibri" w:eastAsia="宋体" w:cs="Arial"/>
      <w:kern w:val="2"/>
      <w:sz w:val="21"/>
      <w:szCs w:val="24"/>
      <w:lang w:val="en-US" w:eastAsia="zh-CN" w:bidi="ar-SA"/>
    </w:rPr>
  </w:style>
  <w:style w:type="paragraph" w:customStyle="1" w:styleId="99">
    <w:name w:val="样式 52 10 磅"/>
    <w:autoRedefine/>
    <w:qFormat/>
    <w:uiPriority w:val="0"/>
    <w:pPr>
      <w:widowControl w:val="0"/>
      <w:jc w:val="both"/>
    </w:pPr>
    <w:rPr>
      <w:rFonts w:ascii="Calibri" w:hAnsi="Calibri" w:eastAsia="宋体" w:cs="Arial"/>
      <w:kern w:val="2"/>
      <w:sz w:val="21"/>
      <w:szCs w:val="24"/>
      <w:lang w:val="en-US" w:eastAsia="zh-CN" w:bidi="ar-SA"/>
    </w:rPr>
  </w:style>
  <w:style w:type="paragraph" w:customStyle="1" w:styleId="100">
    <w:name w:val="样式 10 磅"/>
    <w:basedOn w:val="1"/>
    <w:autoRedefine/>
    <w:qFormat/>
    <w:uiPriority w:val="0"/>
    <w:pPr>
      <w:adjustRightInd w:val="0"/>
      <w:spacing w:line="360" w:lineRule="atLeast"/>
      <w:jc w:val="left"/>
      <w:textAlignment w:val="baseline"/>
    </w:pPr>
    <w:rPr>
      <w:rFonts w:ascii="Times New Roman" w:hAnsi="Times New Roman" w:cs="Times New Roman"/>
      <w:sz w:val="20"/>
      <w:szCs w:val="24"/>
    </w:rPr>
  </w:style>
  <w:style w:type="paragraph" w:customStyle="1" w:styleId="101">
    <w:name w:val="样式 小四"/>
    <w:autoRedefine/>
    <w:qFormat/>
    <w:uiPriority w:val="0"/>
    <w:pPr>
      <w:widowControl w:val="0"/>
    </w:pPr>
    <w:rPr>
      <w:rFonts w:ascii="宋体" w:hAnsi="Times New Roman" w:eastAsia="宋体" w:cs="Times New Roman"/>
      <w:kern w:val="2"/>
      <w:sz w:val="24"/>
      <w:szCs w:val="21"/>
      <w:lang w:val="en-US" w:eastAsia="zh-CN" w:bidi="ar-SA"/>
    </w:rPr>
  </w:style>
  <w:style w:type="paragraph" w:customStyle="1" w:styleId="102">
    <w:name w:val="样式 65 10 磅"/>
    <w:autoRedefine/>
    <w:qFormat/>
    <w:uiPriority w:val="0"/>
    <w:pPr>
      <w:widowControl w:val="0"/>
      <w:jc w:val="both"/>
    </w:pPr>
    <w:rPr>
      <w:rFonts w:ascii="Calibri" w:hAnsi="Calibri" w:eastAsia="宋体" w:cs="Arial"/>
      <w:kern w:val="2"/>
      <w:sz w:val="21"/>
      <w:szCs w:val="24"/>
      <w:lang w:val="en-US" w:eastAsia="zh-CN" w:bidi="ar-SA"/>
    </w:rPr>
  </w:style>
  <w:style w:type="paragraph" w:customStyle="1" w:styleId="103">
    <w:name w:val="样式 59 10 磅"/>
    <w:autoRedefine/>
    <w:qFormat/>
    <w:uiPriority w:val="0"/>
    <w:pPr>
      <w:widowControl w:val="0"/>
      <w:jc w:val="both"/>
    </w:pPr>
    <w:rPr>
      <w:rFonts w:ascii="Calibri" w:hAnsi="Calibri" w:eastAsia="宋体" w:cs="Arial"/>
      <w:kern w:val="2"/>
      <w:sz w:val="21"/>
      <w:szCs w:val="24"/>
      <w:lang w:val="en-US" w:eastAsia="zh-CN" w:bidi="ar-SA"/>
    </w:rPr>
  </w:style>
  <w:style w:type="paragraph" w:customStyle="1" w:styleId="104">
    <w:name w:val="样式 13 10 磅"/>
    <w:autoRedefine/>
    <w:qFormat/>
    <w:uiPriority w:val="0"/>
    <w:pPr>
      <w:widowControl w:val="0"/>
      <w:adjustRightInd w:val="0"/>
      <w:spacing w:line="360" w:lineRule="atLeast"/>
      <w:jc w:val="both"/>
      <w:textAlignment w:val="baseline"/>
    </w:pPr>
    <w:rPr>
      <w:rFonts w:ascii="Times New Roman" w:hAnsi="Times New Roman" w:eastAsia="宋体" w:cs="Times New Roman"/>
      <w:szCs w:val="24"/>
      <w:lang w:val="en-US" w:eastAsia="zh-CN" w:bidi="ar-SA"/>
    </w:rPr>
  </w:style>
  <w:style w:type="paragraph" w:customStyle="1" w:styleId="105">
    <w:name w:val="样式 14 10 磅"/>
    <w:basedOn w:val="1"/>
    <w:autoRedefine/>
    <w:qFormat/>
    <w:uiPriority w:val="0"/>
    <w:rPr>
      <w:sz w:val="21"/>
      <w:szCs w:val="21"/>
    </w:rPr>
  </w:style>
  <w:style w:type="paragraph" w:customStyle="1" w:styleId="106">
    <w:name w:val="样式 205 10 磅"/>
    <w:autoRedefine/>
    <w:qFormat/>
    <w:uiPriority w:val="0"/>
    <w:pPr>
      <w:widowControl w:val="0"/>
      <w:jc w:val="both"/>
    </w:pPr>
    <w:rPr>
      <w:rFonts w:ascii="Calibri" w:hAnsi="Calibri" w:eastAsia="宋体" w:cs="Arial"/>
      <w:kern w:val="2"/>
      <w:sz w:val="21"/>
      <w:szCs w:val="24"/>
      <w:lang w:val="en-US" w:eastAsia="zh-CN" w:bidi="ar-SA"/>
    </w:rPr>
  </w:style>
  <w:style w:type="paragraph" w:customStyle="1" w:styleId="107">
    <w:name w:val="样式 204 10 磅"/>
    <w:autoRedefine/>
    <w:qFormat/>
    <w:uiPriority w:val="0"/>
    <w:pPr>
      <w:widowControl w:val="0"/>
      <w:jc w:val="both"/>
    </w:pPr>
    <w:rPr>
      <w:rFonts w:ascii="Calibri" w:hAnsi="Calibri" w:eastAsia="宋体" w:cs="Arial"/>
      <w:kern w:val="2"/>
      <w:sz w:val="21"/>
      <w:szCs w:val="24"/>
      <w:lang w:val="en-US" w:eastAsia="zh-CN" w:bidi="ar-SA"/>
    </w:rPr>
  </w:style>
  <w:style w:type="paragraph" w:customStyle="1" w:styleId="108">
    <w:name w:val="样式 201 10 磅"/>
    <w:autoRedefine/>
    <w:qFormat/>
    <w:uiPriority w:val="0"/>
    <w:pPr>
      <w:widowControl w:val="0"/>
      <w:jc w:val="both"/>
    </w:pPr>
    <w:rPr>
      <w:rFonts w:ascii="Calibri" w:hAnsi="Calibri" w:eastAsia="宋体" w:cs="Arial"/>
      <w:kern w:val="2"/>
      <w:sz w:val="21"/>
      <w:szCs w:val="24"/>
      <w:lang w:val="en-US" w:eastAsia="zh-CN" w:bidi="ar-SA"/>
    </w:rPr>
  </w:style>
  <w:style w:type="paragraph" w:customStyle="1" w:styleId="109">
    <w:name w:val="样式 200 10 磅"/>
    <w:autoRedefine/>
    <w:qFormat/>
    <w:uiPriority w:val="0"/>
    <w:pPr>
      <w:widowControl w:val="0"/>
      <w:jc w:val="both"/>
    </w:pPr>
    <w:rPr>
      <w:rFonts w:ascii="Calibri" w:hAnsi="Calibri" w:eastAsia="宋体" w:cs="Arial"/>
      <w:kern w:val="2"/>
      <w:sz w:val="21"/>
      <w:szCs w:val="24"/>
      <w:lang w:val="en-US" w:eastAsia="zh-CN" w:bidi="ar-SA"/>
    </w:rPr>
  </w:style>
  <w:style w:type="paragraph" w:customStyle="1" w:styleId="110">
    <w:name w:val="样式 199 10 磅"/>
    <w:autoRedefine/>
    <w:qFormat/>
    <w:uiPriority w:val="0"/>
    <w:pPr>
      <w:widowControl w:val="0"/>
      <w:jc w:val="both"/>
    </w:pPr>
    <w:rPr>
      <w:rFonts w:ascii="Calibri" w:hAnsi="Calibri" w:eastAsia="宋体" w:cs="Arial"/>
      <w:kern w:val="2"/>
      <w:sz w:val="21"/>
      <w:szCs w:val="24"/>
      <w:lang w:val="en-US" w:eastAsia="zh-CN" w:bidi="ar-SA"/>
    </w:rPr>
  </w:style>
  <w:style w:type="paragraph" w:customStyle="1" w:styleId="111">
    <w:name w:val="样式 198 10 磅"/>
    <w:autoRedefine/>
    <w:qFormat/>
    <w:uiPriority w:val="0"/>
    <w:pPr>
      <w:widowControl w:val="0"/>
      <w:jc w:val="both"/>
    </w:pPr>
    <w:rPr>
      <w:rFonts w:ascii="Calibri" w:hAnsi="Calibri" w:eastAsia="宋体" w:cs="Arial"/>
      <w:kern w:val="2"/>
      <w:sz w:val="21"/>
      <w:szCs w:val="24"/>
      <w:lang w:val="en-US" w:eastAsia="zh-CN" w:bidi="ar-SA"/>
    </w:rPr>
  </w:style>
  <w:style w:type="paragraph" w:customStyle="1" w:styleId="112">
    <w:name w:val="样式 197 10 磅"/>
    <w:autoRedefine/>
    <w:qFormat/>
    <w:uiPriority w:val="0"/>
    <w:pPr>
      <w:widowControl w:val="0"/>
      <w:jc w:val="both"/>
    </w:pPr>
    <w:rPr>
      <w:rFonts w:ascii="Calibri" w:hAnsi="Calibri" w:eastAsia="宋体" w:cs="Arial"/>
      <w:kern w:val="2"/>
      <w:sz w:val="21"/>
      <w:szCs w:val="24"/>
      <w:lang w:val="en-US" w:eastAsia="zh-CN" w:bidi="ar-SA"/>
    </w:rPr>
  </w:style>
  <w:style w:type="paragraph" w:customStyle="1" w:styleId="113">
    <w:name w:val="样式 196 10 磅"/>
    <w:autoRedefine/>
    <w:qFormat/>
    <w:uiPriority w:val="0"/>
    <w:pPr>
      <w:widowControl w:val="0"/>
      <w:jc w:val="both"/>
    </w:pPr>
    <w:rPr>
      <w:rFonts w:ascii="Calibri" w:hAnsi="Calibri" w:eastAsia="宋体" w:cs="Arial"/>
      <w:kern w:val="2"/>
      <w:sz w:val="21"/>
      <w:szCs w:val="24"/>
      <w:lang w:val="en-US" w:eastAsia="zh-CN" w:bidi="ar-SA"/>
    </w:rPr>
  </w:style>
  <w:style w:type="paragraph" w:customStyle="1" w:styleId="114">
    <w:name w:val="样式 195 10 磅"/>
    <w:autoRedefine/>
    <w:qFormat/>
    <w:uiPriority w:val="0"/>
    <w:pPr>
      <w:widowControl w:val="0"/>
      <w:jc w:val="both"/>
    </w:pPr>
    <w:rPr>
      <w:rFonts w:ascii="Calibri" w:hAnsi="Calibri" w:eastAsia="宋体" w:cs="Arial"/>
      <w:kern w:val="2"/>
      <w:sz w:val="21"/>
      <w:szCs w:val="24"/>
      <w:lang w:val="en-US" w:eastAsia="zh-CN" w:bidi="ar-SA"/>
    </w:rPr>
  </w:style>
  <w:style w:type="paragraph" w:customStyle="1" w:styleId="115">
    <w:name w:val="样式 194 10 磅"/>
    <w:autoRedefine/>
    <w:qFormat/>
    <w:uiPriority w:val="0"/>
    <w:pPr>
      <w:widowControl w:val="0"/>
      <w:jc w:val="both"/>
    </w:pPr>
    <w:rPr>
      <w:rFonts w:ascii="Calibri" w:hAnsi="Calibri" w:eastAsia="宋体" w:cs="Arial"/>
      <w:kern w:val="2"/>
      <w:sz w:val="21"/>
      <w:szCs w:val="24"/>
      <w:lang w:val="en-US" w:eastAsia="zh-CN" w:bidi="ar-SA"/>
    </w:rPr>
  </w:style>
  <w:style w:type="paragraph" w:customStyle="1" w:styleId="116">
    <w:name w:val="样式 193 10 磅"/>
    <w:autoRedefine/>
    <w:qFormat/>
    <w:uiPriority w:val="0"/>
    <w:pPr>
      <w:widowControl w:val="0"/>
      <w:jc w:val="both"/>
    </w:pPr>
    <w:rPr>
      <w:rFonts w:ascii="Calibri" w:hAnsi="Calibri" w:eastAsia="宋体" w:cs="Arial"/>
      <w:kern w:val="2"/>
      <w:sz w:val="21"/>
      <w:szCs w:val="24"/>
      <w:lang w:val="en-US" w:eastAsia="zh-CN" w:bidi="ar-SA"/>
    </w:rPr>
  </w:style>
  <w:style w:type="paragraph" w:customStyle="1" w:styleId="117">
    <w:name w:val="样式 192 10 磅"/>
    <w:autoRedefine/>
    <w:qFormat/>
    <w:uiPriority w:val="0"/>
    <w:pPr>
      <w:widowControl w:val="0"/>
      <w:jc w:val="both"/>
    </w:pPr>
    <w:rPr>
      <w:rFonts w:ascii="Calibri" w:hAnsi="Calibri" w:eastAsia="宋体" w:cs="Arial"/>
      <w:kern w:val="2"/>
      <w:sz w:val="21"/>
      <w:szCs w:val="24"/>
      <w:lang w:val="en-US" w:eastAsia="zh-CN" w:bidi="ar-SA"/>
    </w:rPr>
  </w:style>
  <w:style w:type="paragraph" w:customStyle="1" w:styleId="118">
    <w:name w:val="样式 191 10 磅"/>
    <w:autoRedefine/>
    <w:qFormat/>
    <w:uiPriority w:val="0"/>
    <w:pPr>
      <w:widowControl w:val="0"/>
      <w:jc w:val="both"/>
    </w:pPr>
    <w:rPr>
      <w:rFonts w:ascii="Calibri" w:hAnsi="Calibri" w:eastAsia="宋体" w:cs="Arial"/>
      <w:kern w:val="2"/>
      <w:sz w:val="21"/>
      <w:szCs w:val="24"/>
      <w:lang w:val="en-US" w:eastAsia="zh-CN" w:bidi="ar-SA"/>
    </w:rPr>
  </w:style>
  <w:style w:type="paragraph" w:customStyle="1" w:styleId="119">
    <w:name w:val="样式 190 10 磅"/>
    <w:autoRedefine/>
    <w:qFormat/>
    <w:uiPriority w:val="0"/>
    <w:pPr>
      <w:widowControl w:val="0"/>
      <w:jc w:val="both"/>
    </w:pPr>
    <w:rPr>
      <w:rFonts w:ascii="Calibri" w:hAnsi="Calibri" w:eastAsia="宋体" w:cs="Arial"/>
      <w:kern w:val="2"/>
      <w:sz w:val="21"/>
      <w:szCs w:val="24"/>
      <w:lang w:val="en-US" w:eastAsia="zh-CN" w:bidi="ar-SA"/>
    </w:rPr>
  </w:style>
  <w:style w:type="paragraph" w:customStyle="1" w:styleId="120">
    <w:name w:val="样式 189 10 磅"/>
    <w:autoRedefine/>
    <w:qFormat/>
    <w:uiPriority w:val="0"/>
    <w:pPr>
      <w:widowControl w:val="0"/>
      <w:jc w:val="both"/>
    </w:pPr>
    <w:rPr>
      <w:rFonts w:ascii="Calibri" w:hAnsi="Calibri" w:eastAsia="宋体" w:cs="Arial"/>
      <w:kern w:val="2"/>
      <w:sz w:val="21"/>
      <w:szCs w:val="24"/>
      <w:lang w:val="en-US" w:eastAsia="zh-CN" w:bidi="ar-SA"/>
    </w:rPr>
  </w:style>
  <w:style w:type="paragraph" w:customStyle="1" w:styleId="121">
    <w:name w:val="样式 188 10 磅"/>
    <w:autoRedefine/>
    <w:qFormat/>
    <w:uiPriority w:val="0"/>
    <w:pPr>
      <w:widowControl w:val="0"/>
      <w:jc w:val="both"/>
    </w:pPr>
    <w:rPr>
      <w:rFonts w:ascii="Calibri" w:hAnsi="Calibri" w:eastAsia="宋体" w:cs="Arial"/>
      <w:kern w:val="2"/>
      <w:sz w:val="21"/>
      <w:szCs w:val="24"/>
      <w:lang w:val="en-US" w:eastAsia="zh-CN" w:bidi="ar-SA"/>
    </w:rPr>
  </w:style>
  <w:style w:type="paragraph" w:customStyle="1" w:styleId="122">
    <w:name w:val="样式 187 10 磅"/>
    <w:autoRedefine/>
    <w:qFormat/>
    <w:uiPriority w:val="0"/>
    <w:pPr>
      <w:widowControl w:val="0"/>
      <w:jc w:val="both"/>
    </w:pPr>
    <w:rPr>
      <w:rFonts w:ascii="Calibri" w:hAnsi="Calibri" w:eastAsia="宋体" w:cs="Arial"/>
      <w:kern w:val="2"/>
      <w:sz w:val="21"/>
      <w:szCs w:val="24"/>
      <w:lang w:val="en-US" w:eastAsia="zh-CN" w:bidi="ar-SA"/>
    </w:rPr>
  </w:style>
  <w:style w:type="paragraph" w:customStyle="1" w:styleId="123">
    <w:name w:val="样式 186 10 磅"/>
    <w:autoRedefine/>
    <w:qFormat/>
    <w:uiPriority w:val="0"/>
    <w:pPr>
      <w:widowControl w:val="0"/>
      <w:jc w:val="both"/>
    </w:pPr>
    <w:rPr>
      <w:rFonts w:ascii="Calibri" w:hAnsi="Calibri" w:eastAsia="宋体" w:cs="Arial"/>
      <w:kern w:val="2"/>
      <w:sz w:val="21"/>
      <w:szCs w:val="24"/>
      <w:lang w:val="en-US" w:eastAsia="zh-CN" w:bidi="ar-SA"/>
    </w:rPr>
  </w:style>
  <w:style w:type="paragraph" w:customStyle="1" w:styleId="124">
    <w:name w:val="样式 185 10 磅"/>
    <w:autoRedefine/>
    <w:qFormat/>
    <w:uiPriority w:val="0"/>
    <w:pPr>
      <w:widowControl w:val="0"/>
      <w:jc w:val="both"/>
    </w:pPr>
    <w:rPr>
      <w:rFonts w:ascii="Calibri" w:hAnsi="Calibri" w:eastAsia="宋体" w:cs="Arial"/>
      <w:kern w:val="2"/>
      <w:sz w:val="21"/>
      <w:szCs w:val="24"/>
      <w:lang w:val="en-US" w:eastAsia="zh-CN" w:bidi="ar-SA"/>
    </w:rPr>
  </w:style>
  <w:style w:type="paragraph" w:customStyle="1" w:styleId="125">
    <w:name w:val="样式 184 10 磅"/>
    <w:autoRedefine/>
    <w:qFormat/>
    <w:uiPriority w:val="0"/>
    <w:pPr>
      <w:widowControl w:val="0"/>
      <w:jc w:val="both"/>
    </w:pPr>
    <w:rPr>
      <w:rFonts w:ascii="Calibri" w:hAnsi="Calibri" w:eastAsia="宋体" w:cs="Arial"/>
      <w:kern w:val="2"/>
      <w:sz w:val="21"/>
      <w:szCs w:val="24"/>
      <w:lang w:val="en-US" w:eastAsia="zh-CN" w:bidi="ar-SA"/>
    </w:rPr>
  </w:style>
  <w:style w:type="paragraph" w:customStyle="1" w:styleId="126">
    <w:name w:val="样式 183 10 磅"/>
    <w:autoRedefine/>
    <w:qFormat/>
    <w:uiPriority w:val="0"/>
    <w:pPr>
      <w:widowControl w:val="0"/>
      <w:jc w:val="both"/>
    </w:pPr>
    <w:rPr>
      <w:rFonts w:ascii="Calibri" w:hAnsi="Calibri" w:eastAsia="宋体" w:cs="Arial"/>
      <w:kern w:val="2"/>
      <w:sz w:val="21"/>
      <w:szCs w:val="24"/>
      <w:lang w:val="en-US" w:eastAsia="zh-CN" w:bidi="ar-SA"/>
    </w:rPr>
  </w:style>
  <w:style w:type="paragraph" w:customStyle="1" w:styleId="127">
    <w:name w:val="样式 182 10 磅"/>
    <w:autoRedefine/>
    <w:qFormat/>
    <w:uiPriority w:val="0"/>
    <w:pPr>
      <w:widowControl w:val="0"/>
      <w:jc w:val="both"/>
    </w:pPr>
    <w:rPr>
      <w:rFonts w:ascii="Calibri" w:hAnsi="Calibri" w:eastAsia="宋体" w:cs="Arial"/>
      <w:kern w:val="2"/>
      <w:sz w:val="21"/>
      <w:szCs w:val="24"/>
      <w:lang w:val="en-US" w:eastAsia="zh-CN" w:bidi="ar-SA"/>
    </w:rPr>
  </w:style>
  <w:style w:type="paragraph" w:customStyle="1" w:styleId="128">
    <w:name w:val="样式 181 10 磅"/>
    <w:autoRedefine/>
    <w:qFormat/>
    <w:uiPriority w:val="0"/>
    <w:pPr>
      <w:widowControl w:val="0"/>
      <w:jc w:val="both"/>
    </w:pPr>
    <w:rPr>
      <w:rFonts w:ascii="Calibri" w:hAnsi="Calibri" w:eastAsia="宋体" w:cs="Arial"/>
      <w:kern w:val="2"/>
      <w:sz w:val="21"/>
      <w:szCs w:val="24"/>
      <w:lang w:val="en-US" w:eastAsia="zh-CN" w:bidi="ar-SA"/>
    </w:rPr>
  </w:style>
  <w:style w:type="paragraph" w:customStyle="1" w:styleId="129">
    <w:name w:val="样式 180 10 磅"/>
    <w:autoRedefine/>
    <w:qFormat/>
    <w:uiPriority w:val="0"/>
    <w:pPr>
      <w:widowControl w:val="0"/>
      <w:jc w:val="both"/>
    </w:pPr>
    <w:rPr>
      <w:rFonts w:ascii="Calibri" w:hAnsi="Calibri" w:eastAsia="宋体" w:cs="Arial"/>
      <w:kern w:val="2"/>
      <w:sz w:val="21"/>
      <w:szCs w:val="24"/>
      <w:lang w:val="en-US" w:eastAsia="zh-CN" w:bidi="ar-SA"/>
    </w:rPr>
  </w:style>
  <w:style w:type="paragraph" w:customStyle="1" w:styleId="130">
    <w:name w:val="样式 179 10 磅"/>
    <w:autoRedefine/>
    <w:qFormat/>
    <w:uiPriority w:val="0"/>
    <w:pPr>
      <w:widowControl w:val="0"/>
      <w:jc w:val="both"/>
    </w:pPr>
    <w:rPr>
      <w:rFonts w:ascii="Calibri" w:hAnsi="Calibri" w:eastAsia="宋体" w:cs="Arial"/>
      <w:kern w:val="2"/>
      <w:sz w:val="21"/>
      <w:szCs w:val="24"/>
      <w:lang w:val="en-US" w:eastAsia="zh-CN" w:bidi="ar-SA"/>
    </w:rPr>
  </w:style>
  <w:style w:type="paragraph" w:customStyle="1" w:styleId="131">
    <w:name w:val="样式 178 10 磅"/>
    <w:autoRedefine/>
    <w:qFormat/>
    <w:uiPriority w:val="0"/>
    <w:pPr>
      <w:widowControl w:val="0"/>
      <w:jc w:val="both"/>
    </w:pPr>
    <w:rPr>
      <w:rFonts w:ascii="Calibri" w:hAnsi="Calibri" w:eastAsia="宋体" w:cs="Arial"/>
      <w:kern w:val="2"/>
      <w:sz w:val="21"/>
      <w:szCs w:val="24"/>
      <w:lang w:val="en-US" w:eastAsia="zh-CN" w:bidi="ar-SA"/>
    </w:rPr>
  </w:style>
  <w:style w:type="paragraph" w:customStyle="1" w:styleId="132">
    <w:name w:val="样式 177 10 磅"/>
    <w:autoRedefine/>
    <w:qFormat/>
    <w:uiPriority w:val="0"/>
    <w:pPr>
      <w:widowControl w:val="0"/>
      <w:jc w:val="both"/>
    </w:pPr>
    <w:rPr>
      <w:rFonts w:ascii="Calibri" w:hAnsi="Calibri" w:eastAsia="宋体" w:cs="Arial"/>
      <w:kern w:val="2"/>
      <w:sz w:val="21"/>
      <w:szCs w:val="24"/>
      <w:lang w:val="en-US" w:eastAsia="zh-CN" w:bidi="ar-SA"/>
    </w:rPr>
  </w:style>
  <w:style w:type="paragraph" w:customStyle="1" w:styleId="133">
    <w:name w:val="样式 176 10 磅"/>
    <w:autoRedefine/>
    <w:qFormat/>
    <w:uiPriority w:val="0"/>
    <w:pPr>
      <w:widowControl w:val="0"/>
      <w:jc w:val="both"/>
    </w:pPr>
    <w:rPr>
      <w:rFonts w:ascii="Calibri" w:hAnsi="Calibri" w:eastAsia="宋体" w:cs="Arial"/>
      <w:kern w:val="2"/>
      <w:sz w:val="21"/>
      <w:szCs w:val="24"/>
      <w:lang w:val="en-US" w:eastAsia="zh-CN" w:bidi="ar-SA"/>
    </w:rPr>
  </w:style>
  <w:style w:type="paragraph" w:customStyle="1" w:styleId="134">
    <w:name w:val="样式 175 10 磅"/>
    <w:autoRedefine/>
    <w:qFormat/>
    <w:uiPriority w:val="0"/>
    <w:pPr>
      <w:widowControl w:val="0"/>
      <w:jc w:val="both"/>
    </w:pPr>
    <w:rPr>
      <w:rFonts w:ascii="Calibri" w:hAnsi="Calibri" w:eastAsia="宋体" w:cs="Arial"/>
      <w:kern w:val="2"/>
      <w:sz w:val="21"/>
      <w:szCs w:val="24"/>
      <w:lang w:val="en-US" w:eastAsia="zh-CN" w:bidi="ar-SA"/>
    </w:rPr>
  </w:style>
  <w:style w:type="paragraph" w:customStyle="1" w:styleId="135">
    <w:name w:val="样式 174 10 磅"/>
    <w:autoRedefine/>
    <w:qFormat/>
    <w:uiPriority w:val="0"/>
    <w:pPr>
      <w:widowControl w:val="0"/>
      <w:jc w:val="both"/>
    </w:pPr>
    <w:rPr>
      <w:rFonts w:ascii="Calibri" w:hAnsi="Calibri" w:eastAsia="宋体" w:cs="Arial"/>
      <w:kern w:val="2"/>
      <w:sz w:val="21"/>
      <w:szCs w:val="24"/>
      <w:lang w:val="en-US" w:eastAsia="zh-CN" w:bidi="ar-SA"/>
    </w:rPr>
  </w:style>
  <w:style w:type="paragraph" w:customStyle="1" w:styleId="136">
    <w:name w:val="样式 173 10 磅"/>
    <w:autoRedefine/>
    <w:qFormat/>
    <w:uiPriority w:val="0"/>
    <w:pPr>
      <w:widowControl w:val="0"/>
      <w:jc w:val="both"/>
    </w:pPr>
    <w:rPr>
      <w:rFonts w:ascii="Calibri" w:hAnsi="Calibri" w:eastAsia="宋体" w:cs="Arial"/>
      <w:kern w:val="2"/>
      <w:sz w:val="21"/>
      <w:szCs w:val="24"/>
      <w:lang w:val="en-US" w:eastAsia="zh-CN" w:bidi="ar-SA"/>
    </w:rPr>
  </w:style>
  <w:style w:type="paragraph" w:customStyle="1" w:styleId="137">
    <w:name w:val="样式 172 10 磅"/>
    <w:autoRedefine/>
    <w:qFormat/>
    <w:uiPriority w:val="0"/>
    <w:pPr>
      <w:widowControl w:val="0"/>
      <w:jc w:val="both"/>
    </w:pPr>
    <w:rPr>
      <w:rFonts w:ascii="Calibri" w:hAnsi="Calibri" w:eastAsia="宋体" w:cs="Arial"/>
      <w:kern w:val="2"/>
      <w:sz w:val="21"/>
      <w:szCs w:val="24"/>
      <w:lang w:val="en-US" w:eastAsia="zh-CN" w:bidi="ar-SA"/>
    </w:rPr>
  </w:style>
  <w:style w:type="paragraph" w:customStyle="1" w:styleId="138">
    <w:name w:val="样式 171 10 磅"/>
    <w:autoRedefine/>
    <w:qFormat/>
    <w:uiPriority w:val="0"/>
    <w:pPr>
      <w:widowControl w:val="0"/>
      <w:jc w:val="both"/>
    </w:pPr>
    <w:rPr>
      <w:rFonts w:ascii="Calibri" w:hAnsi="Calibri" w:eastAsia="宋体" w:cs="Arial"/>
      <w:kern w:val="2"/>
      <w:sz w:val="21"/>
      <w:szCs w:val="24"/>
      <w:lang w:val="en-US" w:eastAsia="zh-CN" w:bidi="ar-SA"/>
    </w:rPr>
  </w:style>
  <w:style w:type="paragraph" w:customStyle="1" w:styleId="139">
    <w:name w:val="样式 170 10 磅"/>
    <w:autoRedefine/>
    <w:qFormat/>
    <w:uiPriority w:val="0"/>
    <w:pPr>
      <w:widowControl w:val="0"/>
      <w:jc w:val="both"/>
    </w:pPr>
    <w:rPr>
      <w:rFonts w:ascii="Calibri" w:hAnsi="Calibri" w:eastAsia="宋体" w:cs="Arial"/>
      <w:kern w:val="2"/>
      <w:sz w:val="21"/>
      <w:szCs w:val="24"/>
      <w:lang w:val="en-US" w:eastAsia="zh-CN" w:bidi="ar-SA"/>
    </w:rPr>
  </w:style>
  <w:style w:type="paragraph" w:customStyle="1" w:styleId="140">
    <w:name w:val="样式 169 10 磅"/>
    <w:autoRedefine/>
    <w:qFormat/>
    <w:uiPriority w:val="0"/>
    <w:pPr>
      <w:widowControl w:val="0"/>
      <w:jc w:val="both"/>
    </w:pPr>
    <w:rPr>
      <w:rFonts w:ascii="Calibri" w:hAnsi="Calibri" w:eastAsia="宋体" w:cs="Arial"/>
      <w:kern w:val="2"/>
      <w:sz w:val="21"/>
      <w:szCs w:val="24"/>
      <w:lang w:val="en-US" w:eastAsia="zh-CN" w:bidi="ar-SA"/>
    </w:rPr>
  </w:style>
  <w:style w:type="paragraph" w:customStyle="1" w:styleId="141">
    <w:name w:val="样式 168 10 磅"/>
    <w:autoRedefine/>
    <w:qFormat/>
    <w:uiPriority w:val="0"/>
    <w:pPr>
      <w:widowControl w:val="0"/>
      <w:jc w:val="both"/>
    </w:pPr>
    <w:rPr>
      <w:rFonts w:ascii="Calibri" w:hAnsi="Calibri" w:eastAsia="宋体" w:cs="Arial"/>
      <w:kern w:val="2"/>
      <w:sz w:val="21"/>
      <w:szCs w:val="24"/>
      <w:lang w:val="en-US" w:eastAsia="zh-CN" w:bidi="ar-SA"/>
    </w:rPr>
  </w:style>
  <w:style w:type="paragraph" w:customStyle="1" w:styleId="142">
    <w:name w:val="样式 167 10 磅"/>
    <w:autoRedefine/>
    <w:qFormat/>
    <w:uiPriority w:val="0"/>
    <w:pPr>
      <w:widowControl w:val="0"/>
      <w:jc w:val="both"/>
    </w:pPr>
    <w:rPr>
      <w:rFonts w:ascii="Calibri" w:hAnsi="Calibri" w:eastAsia="宋体" w:cs="Arial"/>
      <w:kern w:val="2"/>
      <w:sz w:val="21"/>
      <w:szCs w:val="24"/>
      <w:lang w:val="en-US" w:eastAsia="zh-CN" w:bidi="ar-SA"/>
    </w:rPr>
  </w:style>
  <w:style w:type="paragraph" w:customStyle="1" w:styleId="143">
    <w:name w:val="样式 166 10 磅"/>
    <w:autoRedefine/>
    <w:qFormat/>
    <w:uiPriority w:val="0"/>
    <w:pPr>
      <w:widowControl w:val="0"/>
      <w:jc w:val="both"/>
    </w:pPr>
    <w:rPr>
      <w:rFonts w:ascii="Calibri" w:hAnsi="Calibri" w:eastAsia="宋体" w:cs="Arial"/>
      <w:kern w:val="2"/>
      <w:sz w:val="21"/>
      <w:szCs w:val="24"/>
      <w:lang w:val="en-US" w:eastAsia="zh-CN" w:bidi="ar-SA"/>
    </w:rPr>
  </w:style>
  <w:style w:type="paragraph" w:customStyle="1" w:styleId="144">
    <w:name w:val="样式 165 10 磅"/>
    <w:autoRedefine/>
    <w:qFormat/>
    <w:uiPriority w:val="0"/>
    <w:pPr>
      <w:widowControl w:val="0"/>
      <w:jc w:val="both"/>
    </w:pPr>
    <w:rPr>
      <w:rFonts w:ascii="Calibri" w:hAnsi="Calibri" w:eastAsia="宋体" w:cs="Arial"/>
      <w:kern w:val="2"/>
      <w:sz w:val="21"/>
      <w:szCs w:val="24"/>
      <w:lang w:val="en-US" w:eastAsia="zh-CN" w:bidi="ar-SA"/>
    </w:rPr>
  </w:style>
  <w:style w:type="paragraph" w:customStyle="1" w:styleId="145">
    <w:name w:val="样式 164 10 磅"/>
    <w:autoRedefine/>
    <w:qFormat/>
    <w:uiPriority w:val="0"/>
    <w:pPr>
      <w:widowControl w:val="0"/>
      <w:jc w:val="both"/>
    </w:pPr>
    <w:rPr>
      <w:rFonts w:ascii="Calibri" w:hAnsi="Calibri" w:eastAsia="宋体" w:cs="Arial"/>
      <w:kern w:val="2"/>
      <w:sz w:val="21"/>
      <w:szCs w:val="24"/>
      <w:lang w:val="en-US" w:eastAsia="zh-CN" w:bidi="ar-SA"/>
    </w:rPr>
  </w:style>
  <w:style w:type="paragraph" w:customStyle="1" w:styleId="146">
    <w:name w:val="样式 163 10 磅"/>
    <w:autoRedefine/>
    <w:qFormat/>
    <w:uiPriority w:val="0"/>
    <w:pPr>
      <w:widowControl w:val="0"/>
      <w:jc w:val="both"/>
    </w:pPr>
    <w:rPr>
      <w:rFonts w:ascii="Calibri" w:hAnsi="Calibri" w:eastAsia="宋体" w:cs="Arial"/>
      <w:kern w:val="2"/>
      <w:sz w:val="21"/>
      <w:szCs w:val="24"/>
      <w:lang w:val="en-US" w:eastAsia="zh-CN" w:bidi="ar-SA"/>
    </w:rPr>
  </w:style>
  <w:style w:type="paragraph" w:customStyle="1" w:styleId="147">
    <w:name w:val="样式 162 10 磅"/>
    <w:autoRedefine/>
    <w:qFormat/>
    <w:uiPriority w:val="0"/>
    <w:pPr>
      <w:widowControl w:val="0"/>
      <w:jc w:val="both"/>
    </w:pPr>
    <w:rPr>
      <w:rFonts w:ascii="Calibri" w:hAnsi="Calibri" w:eastAsia="宋体" w:cs="Arial"/>
      <w:kern w:val="2"/>
      <w:sz w:val="21"/>
      <w:szCs w:val="24"/>
      <w:lang w:val="en-US" w:eastAsia="zh-CN" w:bidi="ar-SA"/>
    </w:rPr>
  </w:style>
  <w:style w:type="paragraph" w:customStyle="1" w:styleId="148">
    <w:name w:val="样式 161 10 磅"/>
    <w:autoRedefine/>
    <w:qFormat/>
    <w:uiPriority w:val="0"/>
    <w:pPr>
      <w:widowControl w:val="0"/>
      <w:jc w:val="both"/>
    </w:pPr>
    <w:rPr>
      <w:rFonts w:ascii="Calibri" w:hAnsi="Calibri" w:eastAsia="宋体" w:cs="Arial"/>
      <w:kern w:val="2"/>
      <w:sz w:val="21"/>
      <w:szCs w:val="24"/>
      <w:lang w:val="en-US" w:eastAsia="zh-CN" w:bidi="ar-SA"/>
    </w:rPr>
  </w:style>
  <w:style w:type="paragraph" w:customStyle="1" w:styleId="149">
    <w:name w:val="样式 160 10 磅"/>
    <w:autoRedefine/>
    <w:qFormat/>
    <w:uiPriority w:val="0"/>
    <w:pPr>
      <w:widowControl w:val="0"/>
      <w:jc w:val="both"/>
    </w:pPr>
    <w:rPr>
      <w:rFonts w:ascii="Calibri" w:hAnsi="Calibri" w:eastAsia="宋体" w:cs="Arial"/>
      <w:kern w:val="2"/>
      <w:sz w:val="21"/>
      <w:szCs w:val="24"/>
      <w:lang w:val="en-US" w:eastAsia="zh-CN" w:bidi="ar-SA"/>
    </w:rPr>
  </w:style>
  <w:style w:type="paragraph" w:customStyle="1" w:styleId="150">
    <w:name w:val="样式 159 10 磅"/>
    <w:autoRedefine/>
    <w:qFormat/>
    <w:uiPriority w:val="0"/>
    <w:pPr>
      <w:widowControl w:val="0"/>
      <w:jc w:val="both"/>
    </w:pPr>
    <w:rPr>
      <w:rFonts w:ascii="Calibri" w:hAnsi="Calibri" w:eastAsia="宋体" w:cs="Arial"/>
      <w:kern w:val="2"/>
      <w:sz w:val="21"/>
      <w:szCs w:val="24"/>
      <w:lang w:val="en-US" w:eastAsia="zh-CN" w:bidi="ar-SA"/>
    </w:rPr>
  </w:style>
  <w:style w:type="paragraph" w:customStyle="1" w:styleId="151">
    <w:name w:val="样式 158 10 磅"/>
    <w:autoRedefine/>
    <w:qFormat/>
    <w:uiPriority w:val="0"/>
    <w:pPr>
      <w:widowControl w:val="0"/>
      <w:jc w:val="both"/>
    </w:pPr>
    <w:rPr>
      <w:rFonts w:ascii="Calibri" w:hAnsi="Calibri" w:eastAsia="宋体" w:cs="Arial"/>
      <w:kern w:val="2"/>
      <w:sz w:val="21"/>
      <w:szCs w:val="24"/>
      <w:lang w:val="en-US" w:eastAsia="zh-CN" w:bidi="ar-SA"/>
    </w:rPr>
  </w:style>
  <w:style w:type="paragraph" w:customStyle="1" w:styleId="152">
    <w:name w:val="样式 157 10 磅"/>
    <w:autoRedefine/>
    <w:qFormat/>
    <w:uiPriority w:val="0"/>
    <w:pPr>
      <w:widowControl w:val="0"/>
      <w:jc w:val="both"/>
    </w:pPr>
    <w:rPr>
      <w:rFonts w:ascii="Calibri" w:hAnsi="Calibri" w:eastAsia="宋体" w:cs="Arial"/>
      <w:kern w:val="2"/>
      <w:sz w:val="21"/>
      <w:szCs w:val="24"/>
      <w:lang w:val="en-US" w:eastAsia="zh-CN" w:bidi="ar-SA"/>
    </w:rPr>
  </w:style>
  <w:style w:type="paragraph" w:customStyle="1" w:styleId="153">
    <w:name w:val="样式 156 10 磅"/>
    <w:autoRedefine/>
    <w:qFormat/>
    <w:uiPriority w:val="0"/>
    <w:pPr>
      <w:widowControl w:val="0"/>
      <w:jc w:val="both"/>
    </w:pPr>
    <w:rPr>
      <w:rFonts w:ascii="Calibri" w:hAnsi="Calibri" w:eastAsia="宋体" w:cs="Arial"/>
      <w:kern w:val="2"/>
      <w:sz w:val="21"/>
      <w:szCs w:val="24"/>
      <w:lang w:val="en-US" w:eastAsia="zh-CN" w:bidi="ar-SA"/>
    </w:rPr>
  </w:style>
  <w:style w:type="paragraph" w:customStyle="1" w:styleId="154">
    <w:name w:val="样式 155 10 磅"/>
    <w:autoRedefine/>
    <w:qFormat/>
    <w:uiPriority w:val="0"/>
    <w:pPr>
      <w:widowControl w:val="0"/>
      <w:jc w:val="both"/>
    </w:pPr>
    <w:rPr>
      <w:rFonts w:ascii="Calibri" w:hAnsi="Calibri" w:eastAsia="宋体" w:cs="Arial"/>
      <w:kern w:val="2"/>
      <w:sz w:val="21"/>
      <w:szCs w:val="24"/>
      <w:lang w:val="en-US" w:eastAsia="zh-CN" w:bidi="ar-SA"/>
    </w:rPr>
  </w:style>
  <w:style w:type="paragraph" w:customStyle="1" w:styleId="155">
    <w:name w:val="样式 154 10 磅"/>
    <w:autoRedefine/>
    <w:qFormat/>
    <w:uiPriority w:val="0"/>
    <w:pPr>
      <w:widowControl w:val="0"/>
      <w:jc w:val="both"/>
    </w:pPr>
    <w:rPr>
      <w:rFonts w:ascii="Calibri" w:hAnsi="Calibri" w:eastAsia="宋体" w:cs="Arial"/>
      <w:kern w:val="2"/>
      <w:sz w:val="21"/>
      <w:szCs w:val="24"/>
      <w:lang w:val="en-US" w:eastAsia="zh-CN" w:bidi="ar-SA"/>
    </w:rPr>
  </w:style>
  <w:style w:type="paragraph" w:customStyle="1" w:styleId="156">
    <w:name w:val="样式 153 10 磅"/>
    <w:autoRedefine/>
    <w:qFormat/>
    <w:uiPriority w:val="0"/>
    <w:pPr>
      <w:widowControl w:val="0"/>
      <w:jc w:val="both"/>
    </w:pPr>
    <w:rPr>
      <w:rFonts w:ascii="Calibri" w:hAnsi="Calibri" w:eastAsia="宋体" w:cs="Arial"/>
      <w:kern w:val="2"/>
      <w:sz w:val="21"/>
      <w:szCs w:val="24"/>
      <w:lang w:val="en-US" w:eastAsia="zh-CN" w:bidi="ar-SA"/>
    </w:rPr>
  </w:style>
  <w:style w:type="paragraph" w:customStyle="1" w:styleId="157">
    <w:name w:val="样式 152 10 磅"/>
    <w:autoRedefine/>
    <w:qFormat/>
    <w:uiPriority w:val="0"/>
    <w:pPr>
      <w:widowControl w:val="0"/>
      <w:jc w:val="both"/>
    </w:pPr>
    <w:rPr>
      <w:rFonts w:ascii="Calibri" w:hAnsi="Calibri" w:eastAsia="宋体" w:cs="Arial"/>
      <w:kern w:val="2"/>
      <w:sz w:val="21"/>
      <w:szCs w:val="24"/>
      <w:lang w:val="en-US" w:eastAsia="zh-CN" w:bidi="ar-SA"/>
    </w:rPr>
  </w:style>
  <w:style w:type="paragraph" w:customStyle="1" w:styleId="158">
    <w:name w:val="样式 151 10 磅"/>
    <w:autoRedefine/>
    <w:qFormat/>
    <w:uiPriority w:val="0"/>
    <w:pPr>
      <w:widowControl w:val="0"/>
      <w:jc w:val="both"/>
    </w:pPr>
    <w:rPr>
      <w:rFonts w:ascii="Calibri" w:hAnsi="Calibri" w:eastAsia="宋体" w:cs="Arial"/>
      <w:kern w:val="2"/>
      <w:sz w:val="21"/>
      <w:szCs w:val="24"/>
      <w:lang w:val="en-US" w:eastAsia="zh-CN" w:bidi="ar-SA"/>
    </w:rPr>
  </w:style>
  <w:style w:type="paragraph" w:customStyle="1" w:styleId="159">
    <w:name w:val="样式 150 10 磅"/>
    <w:autoRedefine/>
    <w:qFormat/>
    <w:uiPriority w:val="0"/>
    <w:pPr>
      <w:widowControl w:val="0"/>
      <w:jc w:val="both"/>
    </w:pPr>
    <w:rPr>
      <w:rFonts w:ascii="Calibri" w:hAnsi="Calibri" w:eastAsia="宋体" w:cs="Arial"/>
      <w:kern w:val="2"/>
      <w:sz w:val="21"/>
      <w:szCs w:val="24"/>
      <w:lang w:val="en-US" w:eastAsia="zh-CN" w:bidi="ar-SA"/>
    </w:rPr>
  </w:style>
  <w:style w:type="paragraph" w:customStyle="1" w:styleId="160">
    <w:name w:val="样式 149 10 磅"/>
    <w:autoRedefine/>
    <w:qFormat/>
    <w:uiPriority w:val="0"/>
    <w:pPr>
      <w:widowControl w:val="0"/>
      <w:jc w:val="both"/>
    </w:pPr>
    <w:rPr>
      <w:rFonts w:ascii="Calibri" w:hAnsi="Calibri" w:eastAsia="宋体" w:cs="Arial"/>
      <w:kern w:val="2"/>
      <w:sz w:val="21"/>
      <w:szCs w:val="24"/>
      <w:lang w:val="en-US" w:eastAsia="zh-CN" w:bidi="ar-SA"/>
    </w:rPr>
  </w:style>
  <w:style w:type="paragraph" w:customStyle="1" w:styleId="161">
    <w:name w:val="样式 148 10 磅"/>
    <w:autoRedefine/>
    <w:qFormat/>
    <w:uiPriority w:val="0"/>
    <w:pPr>
      <w:widowControl w:val="0"/>
      <w:jc w:val="both"/>
    </w:pPr>
    <w:rPr>
      <w:rFonts w:ascii="Calibri" w:hAnsi="Calibri" w:eastAsia="宋体" w:cs="Arial"/>
      <w:kern w:val="2"/>
      <w:sz w:val="21"/>
      <w:szCs w:val="24"/>
      <w:lang w:val="en-US" w:eastAsia="zh-CN" w:bidi="ar-SA"/>
    </w:rPr>
  </w:style>
  <w:style w:type="paragraph" w:customStyle="1" w:styleId="162">
    <w:name w:val="样式 147 10 磅"/>
    <w:autoRedefine/>
    <w:qFormat/>
    <w:uiPriority w:val="0"/>
    <w:pPr>
      <w:widowControl w:val="0"/>
      <w:jc w:val="both"/>
    </w:pPr>
    <w:rPr>
      <w:rFonts w:ascii="Calibri" w:hAnsi="Calibri" w:eastAsia="宋体" w:cs="Arial"/>
      <w:kern w:val="2"/>
      <w:sz w:val="21"/>
      <w:szCs w:val="24"/>
      <w:lang w:val="en-US" w:eastAsia="zh-CN" w:bidi="ar-SA"/>
    </w:rPr>
  </w:style>
  <w:style w:type="paragraph" w:customStyle="1" w:styleId="163">
    <w:name w:val="样式 146 10 磅"/>
    <w:autoRedefine/>
    <w:qFormat/>
    <w:uiPriority w:val="0"/>
    <w:pPr>
      <w:widowControl w:val="0"/>
      <w:jc w:val="both"/>
    </w:pPr>
    <w:rPr>
      <w:rFonts w:ascii="Calibri" w:hAnsi="Calibri" w:eastAsia="宋体" w:cs="Arial"/>
      <w:kern w:val="2"/>
      <w:sz w:val="21"/>
      <w:szCs w:val="24"/>
      <w:lang w:val="en-US" w:eastAsia="zh-CN" w:bidi="ar-SA"/>
    </w:rPr>
  </w:style>
  <w:style w:type="paragraph" w:customStyle="1" w:styleId="164">
    <w:name w:val="样式 145 10 磅"/>
    <w:autoRedefine/>
    <w:qFormat/>
    <w:uiPriority w:val="0"/>
    <w:pPr>
      <w:widowControl w:val="0"/>
      <w:jc w:val="both"/>
    </w:pPr>
    <w:rPr>
      <w:rFonts w:ascii="Calibri" w:hAnsi="Calibri" w:eastAsia="宋体" w:cs="Arial"/>
      <w:kern w:val="2"/>
      <w:sz w:val="21"/>
      <w:szCs w:val="24"/>
      <w:lang w:val="en-US" w:eastAsia="zh-CN" w:bidi="ar-SA"/>
    </w:rPr>
  </w:style>
  <w:style w:type="paragraph" w:customStyle="1" w:styleId="165">
    <w:name w:val="样式 144 10 磅"/>
    <w:autoRedefine/>
    <w:qFormat/>
    <w:uiPriority w:val="0"/>
    <w:pPr>
      <w:widowControl w:val="0"/>
      <w:jc w:val="both"/>
    </w:pPr>
    <w:rPr>
      <w:rFonts w:ascii="Calibri" w:hAnsi="Calibri" w:eastAsia="宋体" w:cs="Arial"/>
      <w:kern w:val="2"/>
      <w:sz w:val="21"/>
      <w:szCs w:val="24"/>
      <w:lang w:val="en-US" w:eastAsia="zh-CN" w:bidi="ar-SA"/>
    </w:rPr>
  </w:style>
  <w:style w:type="paragraph" w:customStyle="1" w:styleId="166">
    <w:name w:val="样式 143 10 磅"/>
    <w:autoRedefine/>
    <w:qFormat/>
    <w:uiPriority w:val="0"/>
    <w:pPr>
      <w:widowControl w:val="0"/>
      <w:jc w:val="both"/>
    </w:pPr>
    <w:rPr>
      <w:rFonts w:ascii="Calibri" w:hAnsi="Calibri" w:eastAsia="宋体" w:cs="Arial"/>
      <w:kern w:val="2"/>
      <w:sz w:val="21"/>
      <w:szCs w:val="24"/>
      <w:lang w:val="en-US" w:eastAsia="zh-CN" w:bidi="ar-SA"/>
    </w:rPr>
  </w:style>
  <w:style w:type="paragraph" w:customStyle="1" w:styleId="167">
    <w:name w:val="样式 142 10 磅"/>
    <w:autoRedefine/>
    <w:qFormat/>
    <w:uiPriority w:val="0"/>
    <w:pPr>
      <w:widowControl w:val="0"/>
      <w:jc w:val="both"/>
    </w:pPr>
    <w:rPr>
      <w:rFonts w:ascii="Calibri" w:hAnsi="Calibri" w:eastAsia="宋体" w:cs="Arial"/>
      <w:kern w:val="2"/>
      <w:sz w:val="21"/>
      <w:szCs w:val="24"/>
      <w:lang w:val="en-US" w:eastAsia="zh-CN" w:bidi="ar-SA"/>
    </w:rPr>
  </w:style>
  <w:style w:type="paragraph" w:customStyle="1" w:styleId="168">
    <w:name w:val="样式 141 10 磅"/>
    <w:autoRedefine/>
    <w:qFormat/>
    <w:uiPriority w:val="0"/>
    <w:pPr>
      <w:widowControl w:val="0"/>
      <w:jc w:val="both"/>
    </w:pPr>
    <w:rPr>
      <w:rFonts w:ascii="Calibri" w:hAnsi="Calibri" w:eastAsia="宋体" w:cs="Arial"/>
      <w:kern w:val="2"/>
      <w:sz w:val="21"/>
      <w:szCs w:val="24"/>
      <w:lang w:val="en-US" w:eastAsia="zh-CN" w:bidi="ar-SA"/>
    </w:rPr>
  </w:style>
  <w:style w:type="paragraph" w:customStyle="1" w:styleId="169">
    <w:name w:val="样式 137 10 磅"/>
    <w:autoRedefine/>
    <w:qFormat/>
    <w:uiPriority w:val="0"/>
    <w:pPr>
      <w:widowControl w:val="0"/>
      <w:jc w:val="both"/>
    </w:pPr>
    <w:rPr>
      <w:rFonts w:ascii="Calibri" w:hAnsi="Calibri" w:eastAsia="宋体" w:cs="Arial"/>
      <w:kern w:val="2"/>
      <w:sz w:val="21"/>
      <w:szCs w:val="24"/>
      <w:lang w:val="en-US" w:eastAsia="zh-CN" w:bidi="ar-SA"/>
    </w:rPr>
  </w:style>
  <w:style w:type="paragraph" w:customStyle="1" w:styleId="170">
    <w:name w:val="样式 136 10 磅"/>
    <w:autoRedefine/>
    <w:qFormat/>
    <w:uiPriority w:val="0"/>
    <w:pPr>
      <w:widowControl w:val="0"/>
      <w:jc w:val="both"/>
    </w:pPr>
    <w:rPr>
      <w:rFonts w:ascii="Calibri" w:hAnsi="Calibri" w:eastAsia="宋体" w:cs="Arial"/>
      <w:kern w:val="2"/>
      <w:sz w:val="21"/>
      <w:szCs w:val="24"/>
      <w:lang w:val="en-US" w:eastAsia="zh-CN" w:bidi="ar-SA"/>
    </w:rPr>
  </w:style>
  <w:style w:type="paragraph" w:customStyle="1" w:styleId="171">
    <w:name w:val="样式 135 10 磅"/>
    <w:autoRedefine/>
    <w:qFormat/>
    <w:uiPriority w:val="0"/>
    <w:pPr>
      <w:widowControl w:val="0"/>
      <w:jc w:val="both"/>
    </w:pPr>
    <w:rPr>
      <w:rFonts w:ascii="Calibri" w:hAnsi="Calibri" w:eastAsia="宋体" w:cs="Arial"/>
      <w:kern w:val="2"/>
      <w:sz w:val="21"/>
      <w:szCs w:val="24"/>
      <w:lang w:val="en-US" w:eastAsia="zh-CN" w:bidi="ar-SA"/>
    </w:rPr>
  </w:style>
  <w:style w:type="paragraph" w:customStyle="1" w:styleId="172">
    <w:name w:val="样式 134 10 磅"/>
    <w:autoRedefine/>
    <w:qFormat/>
    <w:uiPriority w:val="0"/>
    <w:pPr>
      <w:widowControl w:val="0"/>
      <w:jc w:val="both"/>
    </w:pPr>
    <w:rPr>
      <w:rFonts w:ascii="Calibri" w:hAnsi="Calibri" w:eastAsia="宋体" w:cs="Arial"/>
      <w:kern w:val="2"/>
      <w:sz w:val="21"/>
      <w:szCs w:val="24"/>
      <w:lang w:val="en-US" w:eastAsia="zh-CN" w:bidi="ar-SA"/>
    </w:rPr>
  </w:style>
  <w:style w:type="paragraph" w:customStyle="1" w:styleId="173">
    <w:name w:val="样式 133 10 磅"/>
    <w:autoRedefine/>
    <w:qFormat/>
    <w:uiPriority w:val="0"/>
    <w:pPr>
      <w:widowControl w:val="0"/>
      <w:jc w:val="both"/>
    </w:pPr>
    <w:rPr>
      <w:rFonts w:ascii="Calibri" w:hAnsi="Calibri" w:eastAsia="宋体" w:cs="Arial"/>
      <w:kern w:val="2"/>
      <w:sz w:val="21"/>
      <w:szCs w:val="24"/>
      <w:lang w:val="en-US" w:eastAsia="zh-CN" w:bidi="ar-SA"/>
    </w:rPr>
  </w:style>
  <w:style w:type="paragraph" w:customStyle="1" w:styleId="174">
    <w:name w:val="样式 132 10 磅"/>
    <w:autoRedefine/>
    <w:qFormat/>
    <w:uiPriority w:val="0"/>
    <w:pPr>
      <w:widowControl w:val="0"/>
      <w:jc w:val="both"/>
    </w:pPr>
    <w:rPr>
      <w:rFonts w:ascii="Calibri" w:hAnsi="Calibri" w:eastAsia="宋体" w:cs="Arial"/>
      <w:kern w:val="2"/>
      <w:sz w:val="21"/>
      <w:szCs w:val="24"/>
      <w:lang w:val="en-US" w:eastAsia="zh-CN" w:bidi="ar-SA"/>
    </w:rPr>
  </w:style>
  <w:style w:type="paragraph" w:customStyle="1" w:styleId="175">
    <w:name w:val="样式 131 10 磅"/>
    <w:autoRedefine/>
    <w:qFormat/>
    <w:uiPriority w:val="0"/>
    <w:pPr>
      <w:widowControl w:val="0"/>
      <w:jc w:val="both"/>
    </w:pPr>
    <w:rPr>
      <w:rFonts w:ascii="Calibri" w:hAnsi="Calibri" w:eastAsia="宋体" w:cs="Arial"/>
      <w:kern w:val="2"/>
      <w:sz w:val="21"/>
      <w:szCs w:val="24"/>
      <w:lang w:val="en-US" w:eastAsia="zh-CN" w:bidi="ar-SA"/>
    </w:rPr>
  </w:style>
  <w:style w:type="paragraph" w:customStyle="1" w:styleId="176">
    <w:name w:val="样式 130 10 磅"/>
    <w:autoRedefine/>
    <w:qFormat/>
    <w:uiPriority w:val="0"/>
    <w:pPr>
      <w:widowControl w:val="0"/>
      <w:jc w:val="both"/>
    </w:pPr>
    <w:rPr>
      <w:rFonts w:ascii="Calibri" w:hAnsi="Calibri" w:eastAsia="宋体" w:cs="Arial"/>
      <w:kern w:val="2"/>
      <w:sz w:val="21"/>
      <w:szCs w:val="24"/>
      <w:lang w:val="en-US" w:eastAsia="zh-CN" w:bidi="ar-SA"/>
    </w:rPr>
  </w:style>
  <w:style w:type="paragraph" w:customStyle="1" w:styleId="177">
    <w:name w:val="样式 129 10 磅"/>
    <w:autoRedefine/>
    <w:qFormat/>
    <w:uiPriority w:val="0"/>
    <w:pPr>
      <w:widowControl w:val="0"/>
      <w:jc w:val="both"/>
    </w:pPr>
    <w:rPr>
      <w:rFonts w:ascii="Calibri" w:hAnsi="Calibri" w:eastAsia="宋体" w:cs="Arial"/>
      <w:kern w:val="2"/>
      <w:sz w:val="21"/>
      <w:szCs w:val="24"/>
      <w:lang w:val="en-US" w:eastAsia="zh-CN" w:bidi="ar-SA"/>
    </w:rPr>
  </w:style>
  <w:style w:type="paragraph" w:customStyle="1" w:styleId="178">
    <w:name w:val="样式 128 10 磅"/>
    <w:autoRedefine/>
    <w:qFormat/>
    <w:uiPriority w:val="0"/>
    <w:pPr>
      <w:widowControl w:val="0"/>
      <w:jc w:val="both"/>
    </w:pPr>
    <w:rPr>
      <w:rFonts w:ascii="Calibri" w:hAnsi="Calibri" w:eastAsia="宋体" w:cs="Arial"/>
      <w:kern w:val="2"/>
      <w:sz w:val="21"/>
      <w:szCs w:val="24"/>
      <w:lang w:val="en-US" w:eastAsia="zh-CN" w:bidi="ar-SA"/>
    </w:rPr>
  </w:style>
  <w:style w:type="paragraph" w:customStyle="1" w:styleId="179">
    <w:name w:val="样式 127 10 磅"/>
    <w:autoRedefine/>
    <w:qFormat/>
    <w:uiPriority w:val="0"/>
    <w:pPr>
      <w:widowControl w:val="0"/>
      <w:jc w:val="both"/>
    </w:pPr>
    <w:rPr>
      <w:rFonts w:ascii="Calibri" w:hAnsi="Calibri" w:eastAsia="宋体" w:cs="Arial"/>
      <w:kern w:val="2"/>
      <w:sz w:val="21"/>
      <w:szCs w:val="24"/>
      <w:lang w:val="en-US" w:eastAsia="zh-CN" w:bidi="ar-SA"/>
    </w:rPr>
  </w:style>
  <w:style w:type="paragraph" w:customStyle="1" w:styleId="180">
    <w:name w:val="样式 126 10 磅"/>
    <w:autoRedefine/>
    <w:qFormat/>
    <w:uiPriority w:val="0"/>
    <w:pPr>
      <w:widowControl w:val="0"/>
      <w:jc w:val="both"/>
    </w:pPr>
    <w:rPr>
      <w:rFonts w:ascii="Calibri" w:hAnsi="Calibri" w:eastAsia="宋体" w:cs="Arial"/>
      <w:kern w:val="2"/>
      <w:sz w:val="21"/>
      <w:szCs w:val="24"/>
      <w:lang w:val="en-US" w:eastAsia="zh-CN" w:bidi="ar-SA"/>
    </w:rPr>
  </w:style>
  <w:style w:type="paragraph" w:customStyle="1" w:styleId="181">
    <w:name w:val="样式 125 10 磅"/>
    <w:autoRedefine/>
    <w:qFormat/>
    <w:uiPriority w:val="0"/>
    <w:pPr>
      <w:widowControl w:val="0"/>
      <w:jc w:val="both"/>
    </w:pPr>
    <w:rPr>
      <w:rFonts w:ascii="Calibri" w:hAnsi="Calibri" w:eastAsia="宋体" w:cs="Arial"/>
      <w:kern w:val="2"/>
      <w:sz w:val="21"/>
      <w:szCs w:val="24"/>
      <w:lang w:val="en-US" w:eastAsia="zh-CN" w:bidi="ar-SA"/>
    </w:rPr>
  </w:style>
  <w:style w:type="paragraph" w:customStyle="1" w:styleId="182">
    <w:name w:val="样式 124 10 磅"/>
    <w:autoRedefine/>
    <w:qFormat/>
    <w:uiPriority w:val="0"/>
    <w:pPr>
      <w:widowControl w:val="0"/>
      <w:jc w:val="both"/>
    </w:pPr>
    <w:rPr>
      <w:rFonts w:ascii="Calibri" w:hAnsi="Calibri" w:eastAsia="宋体" w:cs="Arial"/>
      <w:kern w:val="2"/>
      <w:sz w:val="21"/>
      <w:szCs w:val="24"/>
      <w:lang w:val="en-US" w:eastAsia="zh-CN" w:bidi="ar-SA"/>
    </w:rPr>
  </w:style>
  <w:style w:type="paragraph" w:customStyle="1" w:styleId="183">
    <w:name w:val="样式 123 10 磅"/>
    <w:autoRedefine/>
    <w:qFormat/>
    <w:uiPriority w:val="0"/>
    <w:pPr>
      <w:widowControl w:val="0"/>
      <w:jc w:val="both"/>
    </w:pPr>
    <w:rPr>
      <w:rFonts w:ascii="Calibri" w:hAnsi="Calibri" w:eastAsia="宋体" w:cs="Arial"/>
      <w:kern w:val="2"/>
      <w:sz w:val="21"/>
      <w:szCs w:val="24"/>
      <w:lang w:val="en-US" w:eastAsia="zh-CN" w:bidi="ar-SA"/>
    </w:rPr>
  </w:style>
  <w:style w:type="paragraph" w:customStyle="1" w:styleId="184">
    <w:name w:val="样式 122 10 磅"/>
    <w:autoRedefine/>
    <w:qFormat/>
    <w:uiPriority w:val="0"/>
    <w:pPr>
      <w:widowControl w:val="0"/>
      <w:jc w:val="both"/>
    </w:pPr>
    <w:rPr>
      <w:rFonts w:ascii="Calibri" w:hAnsi="Calibri" w:eastAsia="宋体" w:cs="Arial"/>
      <w:kern w:val="2"/>
      <w:sz w:val="21"/>
      <w:szCs w:val="24"/>
      <w:lang w:val="en-US" w:eastAsia="zh-CN" w:bidi="ar-SA"/>
    </w:rPr>
  </w:style>
  <w:style w:type="paragraph" w:customStyle="1" w:styleId="185">
    <w:name w:val="样式 121 10 磅"/>
    <w:autoRedefine/>
    <w:qFormat/>
    <w:uiPriority w:val="0"/>
    <w:pPr>
      <w:widowControl w:val="0"/>
      <w:jc w:val="both"/>
    </w:pPr>
    <w:rPr>
      <w:rFonts w:ascii="Calibri" w:hAnsi="Calibri" w:eastAsia="宋体" w:cs="Arial"/>
      <w:kern w:val="2"/>
      <w:sz w:val="21"/>
      <w:szCs w:val="24"/>
      <w:lang w:val="en-US" w:eastAsia="zh-CN" w:bidi="ar-SA"/>
    </w:rPr>
  </w:style>
  <w:style w:type="paragraph" w:customStyle="1" w:styleId="186">
    <w:name w:val="样式 120 10 磅"/>
    <w:autoRedefine/>
    <w:qFormat/>
    <w:uiPriority w:val="0"/>
    <w:pPr>
      <w:widowControl w:val="0"/>
      <w:jc w:val="both"/>
    </w:pPr>
    <w:rPr>
      <w:rFonts w:ascii="Calibri" w:hAnsi="Calibri" w:eastAsia="宋体" w:cs="Arial"/>
      <w:kern w:val="2"/>
      <w:sz w:val="21"/>
      <w:szCs w:val="24"/>
      <w:lang w:val="en-US" w:eastAsia="zh-CN" w:bidi="ar-SA"/>
    </w:rPr>
  </w:style>
  <w:style w:type="paragraph" w:customStyle="1" w:styleId="187">
    <w:name w:val="样式 119 10 磅"/>
    <w:autoRedefine/>
    <w:qFormat/>
    <w:uiPriority w:val="0"/>
    <w:pPr>
      <w:widowControl w:val="0"/>
      <w:jc w:val="both"/>
    </w:pPr>
    <w:rPr>
      <w:rFonts w:ascii="Calibri" w:hAnsi="Calibri" w:eastAsia="宋体" w:cs="Arial"/>
      <w:kern w:val="2"/>
      <w:sz w:val="21"/>
      <w:szCs w:val="24"/>
      <w:lang w:val="en-US" w:eastAsia="zh-CN" w:bidi="ar-SA"/>
    </w:rPr>
  </w:style>
  <w:style w:type="paragraph" w:customStyle="1" w:styleId="188">
    <w:name w:val="样式 118 10 磅"/>
    <w:autoRedefine/>
    <w:qFormat/>
    <w:uiPriority w:val="0"/>
    <w:pPr>
      <w:widowControl w:val="0"/>
      <w:jc w:val="both"/>
    </w:pPr>
    <w:rPr>
      <w:rFonts w:ascii="Calibri" w:hAnsi="Calibri" w:eastAsia="宋体" w:cs="Arial"/>
      <w:kern w:val="2"/>
      <w:sz w:val="21"/>
      <w:szCs w:val="24"/>
      <w:lang w:val="en-US" w:eastAsia="zh-CN" w:bidi="ar-SA"/>
    </w:rPr>
  </w:style>
  <w:style w:type="paragraph" w:customStyle="1" w:styleId="189">
    <w:name w:val="样式 117 10 磅"/>
    <w:autoRedefine/>
    <w:qFormat/>
    <w:uiPriority w:val="0"/>
    <w:pPr>
      <w:widowControl w:val="0"/>
      <w:jc w:val="both"/>
    </w:pPr>
    <w:rPr>
      <w:rFonts w:ascii="Calibri" w:hAnsi="Calibri" w:eastAsia="宋体" w:cs="Arial"/>
      <w:kern w:val="2"/>
      <w:sz w:val="21"/>
      <w:szCs w:val="24"/>
      <w:lang w:val="en-US" w:eastAsia="zh-CN" w:bidi="ar-SA"/>
    </w:rPr>
  </w:style>
  <w:style w:type="paragraph" w:customStyle="1" w:styleId="190">
    <w:name w:val="样式 116 10 磅"/>
    <w:autoRedefine/>
    <w:qFormat/>
    <w:uiPriority w:val="0"/>
    <w:pPr>
      <w:widowControl w:val="0"/>
      <w:jc w:val="both"/>
    </w:pPr>
    <w:rPr>
      <w:rFonts w:ascii="Calibri" w:hAnsi="Calibri" w:eastAsia="宋体" w:cs="Arial"/>
      <w:kern w:val="2"/>
      <w:sz w:val="21"/>
      <w:szCs w:val="24"/>
      <w:lang w:val="en-US" w:eastAsia="zh-CN" w:bidi="ar-SA"/>
    </w:rPr>
  </w:style>
  <w:style w:type="paragraph" w:customStyle="1" w:styleId="191">
    <w:name w:val="样式 115 10 磅"/>
    <w:autoRedefine/>
    <w:qFormat/>
    <w:uiPriority w:val="0"/>
    <w:pPr>
      <w:widowControl w:val="0"/>
      <w:jc w:val="both"/>
    </w:pPr>
    <w:rPr>
      <w:rFonts w:ascii="Calibri" w:hAnsi="Calibri" w:eastAsia="宋体" w:cs="Arial"/>
      <w:kern w:val="2"/>
      <w:sz w:val="21"/>
      <w:szCs w:val="24"/>
      <w:lang w:val="en-US" w:eastAsia="zh-CN" w:bidi="ar-SA"/>
    </w:rPr>
  </w:style>
  <w:style w:type="paragraph" w:customStyle="1" w:styleId="192">
    <w:name w:val="样式 114 10 磅"/>
    <w:autoRedefine/>
    <w:qFormat/>
    <w:uiPriority w:val="0"/>
    <w:pPr>
      <w:widowControl w:val="0"/>
      <w:jc w:val="both"/>
    </w:pPr>
    <w:rPr>
      <w:rFonts w:ascii="Calibri" w:hAnsi="Calibri" w:eastAsia="宋体" w:cs="Arial"/>
      <w:kern w:val="2"/>
      <w:sz w:val="21"/>
      <w:szCs w:val="24"/>
      <w:lang w:val="en-US" w:eastAsia="zh-CN" w:bidi="ar-SA"/>
    </w:rPr>
  </w:style>
  <w:style w:type="paragraph" w:customStyle="1" w:styleId="193">
    <w:name w:val="样式 113 10 磅"/>
    <w:autoRedefine/>
    <w:qFormat/>
    <w:uiPriority w:val="0"/>
    <w:pPr>
      <w:widowControl w:val="0"/>
      <w:jc w:val="both"/>
    </w:pPr>
    <w:rPr>
      <w:rFonts w:ascii="Calibri" w:hAnsi="Calibri" w:eastAsia="宋体" w:cs="Arial"/>
      <w:kern w:val="2"/>
      <w:sz w:val="21"/>
      <w:szCs w:val="24"/>
      <w:lang w:val="en-US" w:eastAsia="zh-CN" w:bidi="ar-SA"/>
    </w:rPr>
  </w:style>
  <w:style w:type="paragraph" w:customStyle="1" w:styleId="194">
    <w:name w:val="样式 112 10 磅"/>
    <w:autoRedefine/>
    <w:qFormat/>
    <w:uiPriority w:val="0"/>
    <w:pPr>
      <w:widowControl w:val="0"/>
      <w:jc w:val="both"/>
    </w:pPr>
    <w:rPr>
      <w:rFonts w:ascii="Calibri" w:hAnsi="Calibri" w:eastAsia="宋体" w:cs="Arial"/>
      <w:kern w:val="2"/>
      <w:sz w:val="21"/>
      <w:szCs w:val="24"/>
      <w:lang w:val="en-US" w:eastAsia="zh-CN" w:bidi="ar-SA"/>
    </w:rPr>
  </w:style>
  <w:style w:type="paragraph" w:customStyle="1" w:styleId="195">
    <w:name w:val="样式 111 10 磅"/>
    <w:autoRedefine/>
    <w:qFormat/>
    <w:uiPriority w:val="0"/>
    <w:pPr>
      <w:widowControl w:val="0"/>
      <w:jc w:val="both"/>
    </w:pPr>
    <w:rPr>
      <w:rFonts w:ascii="Calibri" w:hAnsi="Calibri" w:eastAsia="宋体" w:cs="Arial"/>
      <w:kern w:val="2"/>
      <w:sz w:val="21"/>
      <w:szCs w:val="24"/>
      <w:lang w:val="en-US" w:eastAsia="zh-CN" w:bidi="ar-SA"/>
    </w:rPr>
  </w:style>
  <w:style w:type="paragraph" w:customStyle="1" w:styleId="196">
    <w:name w:val="样式 110 10 磅"/>
    <w:autoRedefine/>
    <w:qFormat/>
    <w:uiPriority w:val="0"/>
    <w:pPr>
      <w:widowControl w:val="0"/>
      <w:jc w:val="both"/>
    </w:pPr>
    <w:rPr>
      <w:rFonts w:ascii="Calibri" w:hAnsi="Calibri" w:eastAsia="宋体" w:cs="Arial"/>
      <w:kern w:val="2"/>
      <w:sz w:val="21"/>
      <w:szCs w:val="24"/>
      <w:lang w:val="en-US" w:eastAsia="zh-CN" w:bidi="ar-SA"/>
    </w:rPr>
  </w:style>
  <w:style w:type="paragraph" w:customStyle="1" w:styleId="197">
    <w:name w:val="样式 109 10 磅"/>
    <w:autoRedefine/>
    <w:qFormat/>
    <w:uiPriority w:val="0"/>
    <w:pPr>
      <w:widowControl w:val="0"/>
      <w:jc w:val="both"/>
    </w:pPr>
    <w:rPr>
      <w:rFonts w:ascii="Calibri" w:hAnsi="Calibri" w:eastAsia="宋体" w:cs="Arial"/>
      <w:kern w:val="2"/>
      <w:sz w:val="21"/>
      <w:szCs w:val="24"/>
      <w:lang w:val="en-US" w:eastAsia="zh-CN" w:bidi="ar-SA"/>
    </w:rPr>
  </w:style>
  <w:style w:type="paragraph" w:customStyle="1" w:styleId="198">
    <w:name w:val="样式 108 10 磅"/>
    <w:autoRedefine/>
    <w:qFormat/>
    <w:uiPriority w:val="0"/>
    <w:pPr>
      <w:widowControl w:val="0"/>
      <w:jc w:val="both"/>
    </w:pPr>
    <w:rPr>
      <w:rFonts w:ascii="Calibri" w:hAnsi="Calibri" w:eastAsia="宋体" w:cs="Arial"/>
      <w:kern w:val="2"/>
      <w:sz w:val="21"/>
      <w:szCs w:val="24"/>
      <w:lang w:val="en-US" w:eastAsia="zh-CN" w:bidi="ar-SA"/>
    </w:rPr>
  </w:style>
  <w:style w:type="paragraph" w:customStyle="1" w:styleId="199">
    <w:name w:val="样式 107 10 磅"/>
    <w:autoRedefine/>
    <w:qFormat/>
    <w:uiPriority w:val="0"/>
    <w:pPr>
      <w:widowControl w:val="0"/>
      <w:jc w:val="both"/>
    </w:pPr>
    <w:rPr>
      <w:rFonts w:ascii="Calibri" w:hAnsi="Calibri" w:eastAsia="宋体" w:cs="Arial"/>
      <w:kern w:val="2"/>
      <w:sz w:val="21"/>
      <w:szCs w:val="24"/>
      <w:lang w:val="en-US" w:eastAsia="zh-CN" w:bidi="ar-SA"/>
    </w:rPr>
  </w:style>
  <w:style w:type="paragraph" w:customStyle="1" w:styleId="200">
    <w:name w:val="样式 106 10 磅"/>
    <w:autoRedefine/>
    <w:qFormat/>
    <w:uiPriority w:val="0"/>
    <w:pPr>
      <w:widowControl w:val="0"/>
      <w:jc w:val="both"/>
    </w:pPr>
    <w:rPr>
      <w:rFonts w:ascii="Calibri" w:hAnsi="Calibri" w:eastAsia="宋体" w:cs="Arial"/>
      <w:kern w:val="2"/>
      <w:sz w:val="21"/>
      <w:szCs w:val="24"/>
      <w:lang w:val="en-US" w:eastAsia="zh-CN" w:bidi="ar-SA"/>
    </w:rPr>
  </w:style>
  <w:style w:type="paragraph" w:customStyle="1" w:styleId="201">
    <w:name w:val="样式 105 10 磅"/>
    <w:autoRedefine/>
    <w:qFormat/>
    <w:uiPriority w:val="0"/>
    <w:pPr>
      <w:widowControl w:val="0"/>
      <w:jc w:val="both"/>
    </w:pPr>
    <w:rPr>
      <w:rFonts w:ascii="Calibri" w:hAnsi="Calibri" w:eastAsia="宋体" w:cs="Arial"/>
      <w:kern w:val="2"/>
      <w:sz w:val="21"/>
      <w:szCs w:val="24"/>
      <w:lang w:val="en-US" w:eastAsia="zh-CN" w:bidi="ar-SA"/>
    </w:rPr>
  </w:style>
  <w:style w:type="paragraph" w:customStyle="1" w:styleId="202">
    <w:name w:val="样式 104 10 磅"/>
    <w:autoRedefine/>
    <w:qFormat/>
    <w:uiPriority w:val="0"/>
    <w:pPr>
      <w:widowControl w:val="0"/>
      <w:jc w:val="both"/>
    </w:pPr>
    <w:rPr>
      <w:rFonts w:ascii="Calibri" w:hAnsi="Calibri" w:eastAsia="宋体" w:cs="Arial"/>
      <w:kern w:val="2"/>
      <w:sz w:val="21"/>
      <w:szCs w:val="24"/>
      <w:lang w:val="en-US" w:eastAsia="zh-CN" w:bidi="ar-SA"/>
    </w:rPr>
  </w:style>
  <w:style w:type="paragraph" w:customStyle="1" w:styleId="203">
    <w:name w:val="样式 103 10 磅"/>
    <w:autoRedefine/>
    <w:qFormat/>
    <w:uiPriority w:val="0"/>
    <w:pPr>
      <w:widowControl w:val="0"/>
      <w:jc w:val="both"/>
    </w:pPr>
    <w:rPr>
      <w:rFonts w:ascii="Calibri" w:hAnsi="Calibri" w:eastAsia="宋体" w:cs="Arial"/>
      <w:kern w:val="2"/>
      <w:sz w:val="21"/>
      <w:szCs w:val="24"/>
      <w:lang w:val="en-US" w:eastAsia="zh-CN" w:bidi="ar-SA"/>
    </w:rPr>
  </w:style>
  <w:style w:type="paragraph" w:customStyle="1" w:styleId="204">
    <w:name w:val="样式 102 10 磅"/>
    <w:autoRedefine/>
    <w:qFormat/>
    <w:uiPriority w:val="0"/>
    <w:pPr>
      <w:widowControl w:val="0"/>
      <w:jc w:val="both"/>
    </w:pPr>
    <w:rPr>
      <w:rFonts w:ascii="Calibri" w:hAnsi="Calibri" w:eastAsia="宋体" w:cs="Arial"/>
      <w:kern w:val="2"/>
      <w:sz w:val="21"/>
      <w:szCs w:val="24"/>
      <w:lang w:val="en-US" w:eastAsia="zh-CN" w:bidi="ar-SA"/>
    </w:rPr>
  </w:style>
  <w:style w:type="paragraph" w:customStyle="1" w:styleId="205">
    <w:name w:val="样式 101 10 磅"/>
    <w:autoRedefine/>
    <w:qFormat/>
    <w:uiPriority w:val="0"/>
    <w:pPr>
      <w:widowControl w:val="0"/>
      <w:jc w:val="both"/>
    </w:pPr>
    <w:rPr>
      <w:rFonts w:ascii="Calibri" w:hAnsi="Calibri" w:eastAsia="宋体" w:cs="Arial"/>
      <w:kern w:val="2"/>
      <w:sz w:val="21"/>
      <w:szCs w:val="24"/>
      <w:lang w:val="en-US" w:eastAsia="zh-CN" w:bidi="ar-SA"/>
    </w:rPr>
  </w:style>
  <w:style w:type="paragraph" w:customStyle="1" w:styleId="206">
    <w:name w:val="样式 100 10 磅"/>
    <w:autoRedefine/>
    <w:qFormat/>
    <w:uiPriority w:val="0"/>
    <w:pPr>
      <w:widowControl w:val="0"/>
      <w:jc w:val="both"/>
    </w:pPr>
    <w:rPr>
      <w:rFonts w:ascii="Calibri" w:hAnsi="Calibri" w:eastAsia="宋体" w:cs="Arial"/>
      <w:kern w:val="2"/>
      <w:sz w:val="21"/>
      <w:szCs w:val="24"/>
      <w:lang w:val="en-US" w:eastAsia="zh-CN" w:bidi="ar-SA"/>
    </w:rPr>
  </w:style>
  <w:style w:type="paragraph" w:customStyle="1" w:styleId="207">
    <w:name w:val="样式 99 10 磅"/>
    <w:autoRedefine/>
    <w:qFormat/>
    <w:uiPriority w:val="0"/>
    <w:pPr>
      <w:widowControl w:val="0"/>
      <w:jc w:val="both"/>
    </w:pPr>
    <w:rPr>
      <w:rFonts w:ascii="Calibri" w:hAnsi="Calibri" w:eastAsia="宋体" w:cs="Arial"/>
      <w:kern w:val="2"/>
      <w:sz w:val="21"/>
      <w:szCs w:val="24"/>
      <w:lang w:val="en-US" w:eastAsia="zh-CN" w:bidi="ar-SA"/>
    </w:rPr>
  </w:style>
  <w:style w:type="paragraph" w:customStyle="1" w:styleId="208">
    <w:name w:val="样式 98 10 磅"/>
    <w:autoRedefine/>
    <w:qFormat/>
    <w:uiPriority w:val="0"/>
    <w:pPr>
      <w:widowControl w:val="0"/>
      <w:jc w:val="both"/>
    </w:pPr>
    <w:rPr>
      <w:rFonts w:ascii="Calibri" w:hAnsi="Calibri" w:eastAsia="宋体" w:cs="Arial"/>
      <w:kern w:val="2"/>
      <w:sz w:val="21"/>
      <w:szCs w:val="24"/>
      <w:lang w:val="en-US" w:eastAsia="zh-CN" w:bidi="ar-SA"/>
    </w:rPr>
  </w:style>
  <w:style w:type="paragraph" w:customStyle="1" w:styleId="209">
    <w:name w:val="样式 97 10 磅"/>
    <w:autoRedefine/>
    <w:qFormat/>
    <w:uiPriority w:val="0"/>
    <w:pPr>
      <w:widowControl w:val="0"/>
      <w:jc w:val="both"/>
    </w:pPr>
    <w:rPr>
      <w:rFonts w:ascii="Calibri" w:hAnsi="Calibri" w:eastAsia="宋体" w:cs="Arial"/>
      <w:kern w:val="2"/>
      <w:sz w:val="21"/>
      <w:szCs w:val="24"/>
      <w:lang w:val="en-US" w:eastAsia="zh-CN" w:bidi="ar-SA"/>
    </w:rPr>
  </w:style>
  <w:style w:type="paragraph" w:customStyle="1" w:styleId="210">
    <w:name w:val="样式 96 10 磅"/>
    <w:autoRedefine/>
    <w:qFormat/>
    <w:uiPriority w:val="0"/>
    <w:pPr>
      <w:widowControl w:val="0"/>
      <w:jc w:val="both"/>
    </w:pPr>
    <w:rPr>
      <w:rFonts w:ascii="Calibri" w:hAnsi="Calibri" w:eastAsia="宋体" w:cs="Arial"/>
      <w:kern w:val="2"/>
      <w:sz w:val="21"/>
      <w:szCs w:val="24"/>
      <w:lang w:val="en-US" w:eastAsia="zh-CN" w:bidi="ar-SA"/>
    </w:rPr>
  </w:style>
  <w:style w:type="paragraph" w:customStyle="1" w:styleId="211">
    <w:name w:val="样式 95 10 磅"/>
    <w:autoRedefine/>
    <w:qFormat/>
    <w:uiPriority w:val="0"/>
    <w:pPr>
      <w:widowControl w:val="0"/>
      <w:jc w:val="both"/>
    </w:pPr>
    <w:rPr>
      <w:rFonts w:ascii="Calibri" w:hAnsi="Calibri" w:eastAsia="宋体" w:cs="Arial"/>
      <w:kern w:val="2"/>
      <w:sz w:val="21"/>
      <w:szCs w:val="24"/>
      <w:lang w:val="en-US" w:eastAsia="zh-CN" w:bidi="ar-SA"/>
    </w:rPr>
  </w:style>
  <w:style w:type="paragraph" w:customStyle="1" w:styleId="212">
    <w:name w:val="样式 94 10 磅"/>
    <w:autoRedefine/>
    <w:qFormat/>
    <w:uiPriority w:val="0"/>
    <w:pPr>
      <w:widowControl w:val="0"/>
      <w:jc w:val="both"/>
    </w:pPr>
    <w:rPr>
      <w:rFonts w:ascii="Calibri" w:hAnsi="Calibri" w:eastAsia="宋体" w:cs="Arial"/>
      <w:kern w:val="2"/>
      <w:sz w:val="21"/>
      <w:szCs w:val="24"/>
      <w:lang w:val="en-US" w:eastAsia="zh-CN" w:bidi="ar-SA"/>
    </w:rPr>
  </w:style>
  <w:style w:type="paragraph" w:customStyle="1" w:styleId="213">
    <w:name w:val="样式 93 10 磅"/>
    <w:autoRedefine/>
    <w:qFormat/>
    <w:uiPriority w:val="0"/>
    <w:pPr>
      <w:widowControl w:val="0"/>
      <w:jc w:val="both"/>
    </w:pPr>
    <w:rPr>
      <w:rFonts w:ascii="Calibri" w:hAnsi="Calibri" w:eastAsia="宋体" w:cs="Arial"/>
      <w:kern w:val="2"/>
      <w:sz w:val="21"/>
      <w:szCs w:val="24"/>
      <w:lang w:val="en-US" w:eastAsia="zh-CN" w:bidi="ar-SA"/>
    </w:rPr>
  </w:style>
  <w:style w:type="paragraph" w:customStyle="1" w:styleId="214">
    <w:name w:val="样式 92 10 磅"/>
    <w:autoRedefine/>
    <w:qFormat/>
    <w:uiPriority w:val="0"/>
    <w:pPr>
      <w:widowControl w:val="0"/>
      <w:jc w:val="both"/>
    </w:pPr>
    <w:rPr>
      <w:rFonts w:ascii="Calibri" w:hAnsi="Calibri" w:eastAsia="宋体" w:cs="Arial"/>
      <w:kern w:val="2"/>
      <w:sz w:val="21"/>
      <w:szCs w:val="24"/>
      <w:lang w:val="en-US" w:eastAsia="zh-CN" w:bidi="ar-SA"/>
    </w:rPr>
  </w:style>
  <w:style w:type="paragraph" w:customStyle="1" w:styleId="215">
    <w:name w:val="样式 91 10 磅"/>
    <w:autoRedefine/>
    <w:qFormat/>
    <w:uiPriority w:val="0"/>
    <w:pPr>
      <w:widowControl w:val="0"/>
      <w:jc w:val="both"/>
    </w:pPr>
    <w:rPr>
      <w:rFonts w:ascii="Calibri" w:hAnsi="Calibri" w:eastAsia="宋体" w:cs="Arial"/>
      <w:kern w:val="2"/>
      <w:sz w:val="21"/>
      <w:szCs w:val="24"/>
      <w:lang w:val="en-US" w:eastAsia="zh-CN" w:bidi="ar-SA"/>
    </w:rPr>
  </w:style>
  <w:style w:type="paragraph" w:customStyle="1" w:styleId="216">
    <w:name w:val="样式 90 10 磅"/>
    <w:autoRedefine/>
    <w:qFormat/>
    <w:uiPriority w:val="0"/>
    <w:pPr>
      <w:widowControl w:val="0"/>
      <w:jc w:val="both"/>
    </w:pPr>
    <w:rPr>
      <w:rFonts w:ascii="Calibri" w:hAnsi="Calibri" w:eastAsia="宋体" w:cs="Arial"/>
      <w:kern w:val="2"/>
      <w:sz w:val="21"/>
      <w:szCs w:val="24"/>
      <w:lang w:val="en-US" w:eastAsia="zh-CN" w:bidi="ar-SA"/>
    </w:rPr>
  </w:style>
  <w:style w:type="paragraph" w:customStyle="1" w:styleId="217">
    <w:name w:val="样式 89 10 磅"/>
    <w:autoRedefine/>
    <w:qFormat/>
    <w:uiPriority w:val="0"/>
    <w:pPr>
      <w:widowControl w:val="0"/>
      <w:jc w:val="both"/>
    </w:pPr>
    <w:rPr>
      <w:rFonts w:ascii="Calibri" w:hAnsi="Calibri" w:eastAsia="宋体" w:cs="Arial"/>
      <w:kern w:val="2"/>
      <w:sz w:val="21"/>
      <w:szCs w:val="24"/>
      <w:lang w:val="en-US" w:eastAsia="zh-CN" w:bidi="ar-SA"/>
    </w:rPr>
  </w:style>
  <w:style w:type="paragraph" w:customStyle="1" w:styleId="218">
    <w:name w:val="样式 88 10 磅"/>
    <w:autoRedefine/>
    <w:qFormat/>
    <w:uiPriority w:val="0"/>
    <w:pPr>
      <w:widowControl w:val="0"/>
      <w:jc w:val="both"/>
    </w:pPr>
    <w:rPr>
      <w:rFonts w:ascii="Calibri" w:hAnsi="Calibri" w:eastAsia="宋体" w:cs="Arial"/>
      <w:kern w:val="2"/>
      <w:sz w:val="21"/>
      <w:szCs w:val="24"/>
      <w:lang w:val="en-US" w:eastAsia="zh-CN" w:bidi="ar-SA"/>
    </w:rPr>
  </w:style>
  <w:style w:type="paragraph" w:customStyle="1" w:styleId="219">
    <w:name w:val="样式 87 10 磅"/>
    <w:autoRedefine/>
    <w:qFormat/>
    <w:uiPriority w:val="0"/>
    <w:pPr>
      <w:widowControl w:val="0"/>
      <w:jc w:val="both"/>
    </w:pPr>
    <w:rPr>
      <w:rFonts w:ascii="Calibri" w:hAnsi="Calibri" w:eastAsia="宋体" w:cs="Arial"/>
      <w:kern w:val="2"/>
      <w:sz w:val="21"/>
      <w:szCs w:val="24"/>
      <w:lang w:val="en-US" w:eastAsia="zh-CN" w:bidi="ar-SA"/>
    </w:rPr>
  </w:style>
  <w:style w:type="paragraph" w:customStyle="1" w:styleId="220">
    <w:name w:val="样式 86 10 磅"/>
    <w:autoRedefine/>
    <w:qFormat/>
    <w:uiPriority w:val="0"/>
    <w:pPr>
      <w:widowControl w:val="0"/>
      <w:jc w:val="both"/>
    </w:pPr>
    <w:rPr>
      <w:rFonts w:ascii="Calibri" w:hAnsi="Calibri" w:eastAsia="宋体" w:cs="Arial"/>
      <w:kern w:val="2"/>
      <w:sz w:val="21"/>
      <w:szCs w:val="24"/>
      <w:lang w:val="en-US" w:eastAsia="zh-CN" w:bidi="ar-SA"/>
    </w:rPr>
  </w:style>
  <w:style w:type="paragraph" w:customStyle="1" w:styleId="221">
    <w:name w:val="样式 85 10 磅"/>
    <w:autoRedefine/>
    <w:qFormat/>
    <w:uiPriority w:val="0"/>
    <w:pPr>
      <w:widowControl w:val="0"/>
      <w:jc w:val="both"/>
    </w:pPr>
    <w:rPr>
      <w:rFonts w:ascii="Calibri" w:hAnsi="Calibri" w:eastAsia="宋体" w:cs="Arial"/>
      <w:kern w:val="2"/>
      <w:sz w:val="21"/>
      <w:szCs w:val="24"/>
      <w:lang w:val="en-US" w:eastAsia="zh-CN" w:bidi="ar-SA"/>
    </w:rPr>
  </w:style>
  <w:style w:type="paragraph" w:customStyle="1" w:styleId="222">
    <w:name w:val="样式 84 10 磅"/>
    <w:autoRedefine/>
    <w:qFormat/>
    <w:uiPriority w:val="0"/>
    <w:pPr>
      <w:widowControl w:val="0"/>
      <w:jc w:val="both"/>
    </w:pPr>
    <w:rPr>
      <w:rFonts w:ascii="Calibri" w:hAnsi="Calibri" w:eastAsia="宋体" w:cs="Arial"/>
      <w:kern w:val="2"/>
      <w:sz w:val="21"/>
      <w:szCs w:val="24"/>
      <w:lang w:val="en-US" w:eastAsia="zh-CN" w:bidi="ar-SA"/>
    </w:rPr>
  </w:style>
  <w:style w:type="paragraph" w:customStyle="1" w:styleId="223">
    <w:name w:val="样式 83 10 磅"/>
    <w:autoRedefine/>
    <w:qFormat/>
    <w:uiPriority w:val="0"/>
    <w:pPr>
      <w:widowControl w:val="0"/>
      <w:jc w:val="both"/>
    </w:pPr>
    <w:rPr>
      <w:rFonts w:ascii="Calibri" w:hAnsi="Calibri" w:eastAsia="宋体" w:cs="Arial"/>
      <w:kern w:val="2"/>
      <w:sz w:val="21"/>
      <w:szCs w:val="24"/>
      <w:lang w:val="en-US" w:eastAsia="zh-CN" w:bidi="ar-SA"/>
    </w:rPr>
  </w:style>
  <w:style w:type="paragraph" w:customStyle="1" w:styleId="224">
    <w:name w:val="样式 82 10 磅"/>
    <w:autoRedefine/>
    <w:qFormat/>
    <w:uiPriority w:val="0"/>
    <w:pPr>
      <w:widowControl w:val="0"/>
      <w:jc w:val="both"/>
    </w:pPr>
    <w:rPr>
      <w:rFonts w:ascii="Calibri" w:hAnsi="Calibri" w:eastAsia="宋体" w:cs="Arial"/>
      <w:kern w:val="2"/>
      <w:sz w:val="21"/>
      <w:szCs w:val="24"/>
      <w:lang w:val="en-US" w:eastAsia="zh-CN" w:bidi="ar-SA"/>
    </w:rPr>
  </w:style>
  <w:style w:type="paragraph" w:customStyle="1" w:styleId="225">
    <w:name w:val="样式 81 10 磅"/>
    <w:autoRedefine/>
    <w:qFormat/>
    <w:uiPriority w:val="0"/>
    <w:pPr>
      <w:widowControl w:val="0"/>
      <w:jc w:val="both"/>
    </w:pPr>
    <w:rPr>
      <w:rFonts w:ascii="Calibri" w:hAnsi="Calibri" w:eastAsia="宋体" w:cs="Arial"/>
      <w:kern w:val="2"/>
      <w:sz w:val="21"/>
      <w:szCs w:val="24"/>
      <w:lang w:val="en-US" w:eastAsia="zh-CN" w:bidi="ar-SA"/>
    </w:rPr>
  </w:style>
  <w:style w:type="paragraph" w:customStyle="1" w:styleId="226">
    <w:name w:val="样式 80 10 磅"/>
    <w:autoRedefine/>
    <w:qFormat/>
    <w:uiPriority w:val="0"/>
    <w:pPr>
      <w:widowControl w:val="0"/>
      <w:jc w:val="both"/>
    </w:pPr>
    <w:rPr>
      <w:rFonts w:ascii="Calibri" w:hAnsi="Calibri" w:eastAsia="宋体" w:cs="Arial"/>
      <w:kern w:val="2"/>
      <w:sz w:val="21"/>
      <w:szCs w:val="24"/>
      <w:lang w:val="en-US" w:eastAsia="zh-CN" w:bidi="ar-SA"/>
    </w:rPr>
  </w:style>
  <w:style w:type="paragraph" w:customStyle="1" w:styleId="227">
    <w:name w:val="样式 79 10 磅"/>
    <w:autoRedefine/>
    <w:qFormat/>
    <w:uiPriority w:val="0"/>
    <w:pPr>
      <w:widowControl w:val="0"/>
      <w:jc w:val="both"/>
    </w:pPr>
    <w:rPr>
      <w:rFonts w:ascii="Calibri" w:hAnsi="Calibri" w:eastAsia="宋体" w:cs="Arial"/>
      <w:kern w:val="2"/>
      <w:sz w:val="21"/>
      <w:szCs w:val="24"/>
      <w:lang w:val="en-US" w:eastAsia="zh-CN" w:bidi="ar-SA"/>
    </w:rPr>
  </w:style>
  <w:style w:type="paragraph" w:customStyle="1" w:styleId="228">
    <w:name w:val="样式 78 10 磅"/>
    <w:autoRedefine/>
    <w:qFormat/>
    <w:uiPriority w:val="0"/>
    <w:pPr>
      <w:widowControl w:val="0"/>
      <w:jc w:val="both"/>
    </w:pPr>
    <w:rPr>
      <w:rFonts w:ascii="Calibri" w:hAnsi="Calibri" w:eastAsia="宋体" w:cs="Arial"/>
      <w:kern w:val="2"/>
      <w:sz w:val="21"/>
      <w:szCs w:val="24"/>
      <w:lang w:val="en-US" w:eastAsia="zh-CN" w:bidi="ar-SA"/>
    </w:rPr>
  </w:style>
  <w:style w:type="paragraph" w:customStyle="1" w:styleId="229">
    <w:name w:val="样式 77 10 磅"/>
    <w:autoRedefine/>
    <w:qFormat/>
    <w:uiPriority w:val="0"/>
    <w:pPr>
      <w:widowControl w:val="0"/>
      <w:jc w:val="both"/>
    </w:pPr>
    <w:rPr>
      <w:rFonts w:ascii="Calibri" w:hAnsi="Calibri" w:eastAsia="宋体" w:cs="Arial"/>
      <w:kern w:val="2"/>
      <w:sz w:val="21"/>
      <w:szCs w:val="24"/>
      <w:lang w:val="en-US" w:eastAsia="zh-CN" w:bidi="ar-SA"/>
    </w:rPr>
  </w:style>
  <w:style w:type="paragraph" w:customStyle="1" w:styleId="230">
    <w:name w:val="样式 76 10 磅"/>
    <w:autoRedefine/>
    <w:qFormat/>
    <w:uiPriority w:val="0"/>
    <w:pPr>
      <w:widowControl w:val="0"/>
      <w:jc w:val="both"/>
    </w:pPr>
    <w:rPr>
      <w:rFonts w:ascii="Calibri" w:hAnsi="Calibri" w:eastAsia="宋体" w:cs="Arial"/>
      <w:kern w:val="2"/>
      <w:sz w:val="21"/>
      <w:szCs w:val="24"/>
      <w:lang w:val="en-US" w:eastAsia="zh-CN" w:bidi="ar-SA"/>
    </w:rPr>
  </w:style>
  <w:style w:type="paragraph" w:customStyle="1" w:styleId="231">
    <w:name w:val="样式 75 10 磅"/>
    <w:autoRedefine/>
    <w:qFormat/>
    <w:uiPriority w:val="0"/>
    <w:pPr>
      <w:widowControl w:val="0"/>
      <w:jc w:val="both"/>
    </w:pPr>
    <w:rPr>
      <w:rFonts w:ascii="Calibri" w:hAnsi="Calibri" w:eastAsia="宋体" w:cs="Arial"/>
      <w:kern w:val="2"/>
      <w:sz w:val="21"/>
      <w:szCs w:val="24"/>
      <w:lang w:val="en-US" w:eastAsia="zh-CN" w:bidi="ar-SA"/>
    </w:rPr>
  </w:style>
  <w:style w:type="paragraph" w:customStyle="1" w:styleId="232">
    <w:name w:val="样式 74 10 磅"/>
    <w:autoRedefine/>
    <w:qFormat/>
    <w:uiPriority w:val="0"/>
    <w:pPr>
      <w:widowControl w:val="0"/>
      <w:jc w:val="both"/>
    </w:pPr>
    <w:rPr>
      <w:rFonts w:ascii="Calibri" w:hAnsi="Calibri" w:eastAsia="宋体" w:cs="Arial"/>
      <w:kern w:val="2"/>
      <w:sz w:val="21"/>
      <w:szCs w:val="24"/>
      <w:lang w:val="en-US" w:eastAsia="zh-CN" w:bidi="ar-SA"/>
    </w:rPr>
  </w:style>
  <w:style w:type="paragraph" w:customStyle="1" w:styleId="233">
    <w:name w:val="样式 73 10 磅"/>
    <w:autoRedefine/>
    <w:qFormat/>
    <w:uiPriority w:val="0"/>
    <w:pPr>
      <w:widowControl w:val="0"/>
      <w:jc w:val="both"/>
    </w:pPr>
    <w:rPr>
      <w:rFonts w:ascii="Calibri" w:hAnsi="Calibri" w:eastAsia="宋体" w:cs="Arial"/>
      <w:kern w:val="2"/>
      <w:sz w:val="21"/>
      <w:szCs w:val="24"/>
      <w:lang w:val="en-US" w:eastAsia="zh-CN" w:bidi="ar-SA"/>
    </w:rPr>
  </w:style>
  <w:style w:type="paragraph" w:customStyle="1" w:styleId="234">
    <w:name w:val="样式 298 10 磅"/>
    <w:autoRedefine/>
    <w:qFormat/>
    <w:uiPriority w:val="0"/>
    <w:pPr>
      <w:widowControl w:val="0"/>
      <w:jc w:val="both"/>
    </w:pPr>
    <w:rPr>
      <w:rFonts w:ascii="Calibri" w:hAnsi="Calibri" w:eastAsia="宋体" w:cs="Arial"/>
      <w:kern w:val="2"/>
      <w:sz w:val="21"/>
      <w:szCs w:val="24"/>
      <w:lang w:val="en-US" w:eastAsia="zh-CN" w:bidi="ar-SA"/>
    </w:rPr>
  </w:style>
  <w:style w:type="paragraph" w:customStyle="1" w:styleId="235">
    <w:name w:val="样式 297 10 磅"/>
    <w:autoRedefine/>
    <w:qFormat/>
    <w:uiPriority w:val="0"/>
    <w:pPr>
      <w:widowControl w:val="0"/>
      <w:jc w:val="both"/>
    </w:pPr>
    <w:rPr>
      <w:rFonts w:ascii="Calibri" w:hAnsi="Calibri" w:eastAsia="宋体" w:cs="Arial"/>
      <w:kern w:val="2"/>
      <w:sz w:val="21"/>
      <w:szCs w:val="24"/>
      <w:lang w:val="en-US" w:eastAsia="zh-CN" w:bidi="ar-SA"/>
    </w:rPr>
  </w:style>
  <w:style w:type="paragraph" w:customStyle="1" w:styleId="236">
    <w:name w:val="样式 296 10 磅"/>
    <w:autoRedefine/>
    <w:qFormat/>
    <w:uiPriority w:val="0"/>
    <w:pPr>
      <w:widowControl w:val="0"/>
      <w:jc w:val="both"/>
    </w:pPr>
    <w:rPr>
      <w:rFonts w:ascii="Calibri" w:hAnsi="Calibri" w:eastAsia="宋体" w:cs="Arial"/>
      <w:kern w:val="2"/>
      <w:sz w:val="21"/>
      <w:szCs w:val="24"/>
      <w:lang w:val="en-US" w:eastAsia="zh-CN" w:bidi="ar-SA"/>
    </w:rPr>
  </w:style>
  <w:style w:type="paragraph" w:customStyle="1" w:styleId="237">
    <w:name w:val="样式 295 10 磅"/>
    <w:autoRedefine/>
    <w:qFormat/>
    <w:uiPriority w:val="0"/>
    <w:pPr>
      <w:widowControl w:val="0"/>
      <w:jc w:val="both"/>
    </w:pPr>
    <w:rPr>
      <w:rFonts w:ascii="Calibri" w:hAnsi="Calibri" w:eastAsia="宋体" w:cs="Arial"/>
      <w:kern w:val="2"/>
      <w:sz w:val="21"/>
      <w:szCs w:val="24"/>
      <w:lang w:val="en-US" w:eastAsia="zh-CN" w:bidi="ar-SA"/>
    </w:rPr>
  </w:style>
  <w:style w:type="paragraph" w:customStyle="1" w:styleId="238">
    <w:name w:val="样式 294 10 磅"/>
    <w:autoRedefine/>
    <w:qFormat/>
    <w:uiPriority w:val="0"/>
    <w:pPr>
      <w:widowControl w:val="0"/>
      <w:jc w:val="both"/>
    </w:pPr>
    <w:rPr>
      <w:rFonts w:ascii="Calibri" w:hAnsi="Calibri" w:eastAsia="宋体" w:cs="Arial"/>
      <w:kern w:val="2"/>
      <w:sz w:val="21"/>
      <w:szCs w:val="24"/>
      <w:lang w:val="en-US" w:eastAsia="zh-CN" w:bidi="ar-SA"/>
    </w:rPr>
  </w:style>
  <w:style w:type="paragraph" w:customStyle="1" w:styleId="239">
    <w:name w:val="样式 293 10 磅"/>
    <w:autoRedefine/>
    <w:qFormat/>
    <w:uiPriority w:val="0"/>
    <w:pPr>
      <w:widowControl w:val="0"/>
      <w:jc w:val="both"/>
    </w:pPr>
    <w:rPr>
      <w:rFonts w:ascii="Calibri" w:hAnsi="Calibri" w:eastAsia="宋体" w:cs="Arial"/>
      <w:kern w:val="2"/>
      <w:sz w:val="21"/>
      <w:szCs w:val="24"/>
      <w:lang w:val="en-US" w:eastAsia="zh-CN" w:bidi="ar-SA"/>
    </w:rPr>
  </w:style>
  <w:style w:type="paragraph" w:customStyle="1" w:styleId="240">
    <w:name w:val="样式 292 10 磅"/>
    <w:autoRedefine/>
    <w:qFormat/>
    <w:uiPriority w:val="0"/>
    <w:pPr>
      <w:widowControl w:val="0"/>
      <w:jc w:val="both"/>
    </w:pPr>
    <w:rPr>
      <w:rFonts w:ascii="Calibri" w:hAnsi="Calibri" w:eastAsia="宋体" w:cs="Arial"/>
      <w:kern w:val="2"/>
      <w:sz w:val="21"/>
      <w:szCs w:val="24"/>
      <w:lang w:val="en-US" w:eastAsia="zh-CN" w:bidi="ar-SA"/>
    </w:rPr>
  </w:style>
  <w:style w:type="paragraph" w:customStyle="1" w:styleId="241">
    <w:name w:val="样式 291 10 磅"/>
    <w:autoRedefine/>
    <w:qFormat/>
    <w:uiPriority w:val="0"/>
    <w:pPr>
      <w:widowControl w:val="0"/>
      <w:jc w:val="both"/>
    </w:pPr>
    <w:rPr>
      <w:rFonts w:ascii="Calibri" w:hAnsi="Calibri" w:eastAsia="宋体" w:cs="Arial"/>
      <w:kern w:val="2"/>
      <w:sz w:val="21"/>
      <w:szCs w:val="24"/>
      <w:lang w:val="en-US" w:eastAsia="zh-CN" w:bidi="ar-SA"/>
    </w:rPr>
  </w:style>
  <w:style w:type="paragraph" w:customStyle="1" w:styleId="242">
    <w:name w:val="样式 290 10 磅"/>
    <w:autoRedefine/>
    <w:qFormat/>
    <w:uiPriority w:val="0"/>
    <w:pPr>
      <w:widowControl w:val="0"/>
      <w:jc w:val="both"/>
    </w:pPr>
    <w:rPr>
      <w:rFonts w:ascii="Calibri" w:hAnsi="Calibri" w:eastAsia="宋体" w:cs="Arial"/>
      <w:kern w:val="2"/>
      <w:sz w:val="21"/>
      <w:szCs w:val="24"/>
      <w:lang w:val="en-US" w:eastAsia="zh-CN" w:bidi="ar-SA"/>
    </w:rPr>
  </w:style>
  <w:style w:type="paragraph" w:customStyle="1" w:styleId="243">
    <w:name w:val="样式 289 10 磅"/>
    <w:autoRedefine/>
    <w:qFormat/>
    <w:uiPriority w:val="0"/>
    <w:pPr>
      <w:widowControl w:val="0"/>
      <w:jc w:val="both"/>
    </w:pPr>
    <w:rPr>
      <w:rFonts w:ascii="Calibri" w:hAnsi="Calibri" w:eastAsia="宋体" w:cs="Arial"/>
      <w:kern w:val="2"/>
      <w:sz w:val="21"/>
      <w:szCs w:val="24"/>
      <w:lang w:val="en-US" w:eastAsia="zh-CN" w:bidi="ar-SA"/>
    </w:rPr>
  </w:style>
  <w:style w:type="paragraph" w:customStyle="1" w:styleId="244">
    <w:name w:val="样式 288 10 磅"/>
    <w:autoRedefine/>
    <w:qFormat/>
    <w:uiPriority w:val="0"/>
    <w:pPr>
      <w:widowControl w:val="0"/>
      <w:jc w:val="both"/>
    </w:pPr>
    <w:rPr>
      <w:rFonts w:ascii="Calibri" w:hAnsi="Calibri" w:eastAsia="宋体" w:cs="Arial"/>
      <w:kern w:val="2"/>
      <w:sz w:val="21"/>
      <w:szCs w:val="24"/>
      <w:lang w:val="en-US" w:eastAsia="zh-CN" w:bidi="ar-SA"/>
    </w:rPr>
  </w:style>
  <w:style w:type="paragraph" w:customStyle="1" w:styleId="245">
    <w:name w:val="样式 287 10 磅"/>
    <w:autoRedefine/>
    <w:qFormat/>
    <w:uiPriority w:val="0"/>
    <w:pPr>
      <w:widowControl w:val="0"/>
      <w:jc w:val="both"/>
    </w:pPr>
    <w:rPr>
      <w:rFonts w:ascii="Calibri" w:hAnsi="Calibri" w:eastAsia="宋体" w:cs="Arial"/>
      <w:kern w:val="2"/>
      <w:sz w:val="21"/>
      <w:szCs w:val="24"/>
      <w:lang w:val="en-US" w:eastAsia="zh-CN" w:bidi="ar-SA"/>
    </w:rPr>
  </w:style>
  <w:style w:type="paragraph" w:customStyle="1" w:styleId="246">
    <w:name w:val="样式 286 10 磅"/>
    <w:autoRedefine/>
    <w:qFormat/>
    <w:uiPriority w:val="0"/>
    <w:pPr>
      <w:widowControl w:val="0"/>
      <w:jc w:val="both"/>
    </w:pPr>
    <w:rPr>
      <w:rFonts w:ascii="Calibri" w:hAnsi="Calibri" w:eastAsia="宋体" w:cs="Arial"/>
      <w:kern w:val="2"/>
      <w:sz w:val="21"/>
      <w:szCs w:val="24"/>
      <w:lang w:val="en-US" w:eastAsia="zh-CN" w:bidi="ar-SA"/>
    </w:rPr>
  </w:style>
  <w:style w:type="paragraph" w:customStyle="1" w:styleId="247">
    <w:name w:val="样式 285 10 磅"/>
    <w:autoRedefine/>
    <w:qFormat/>
    <w:uiPriority w:val="0"/>
    <w:pPr>
      <w:widowControl w:val="0"/>
      <w:jc w:val="both"/>
    </w:pPr>
    <w:rPr>
      <w:rFonts w:ascii="Calibri" w:hAnsi="Calibri" w:eastAsia="宋体" w:cs="Arial"/>
      <w:kern w:val="2"/>
      <w:sz w:val="21"/>
      <w:szCs w:val="24"/>
      <w:lang w:val="en-US" w:eastAsia="zh-CN" w:bidi="ar-SA"/>
    </w:rPr>
  </w:style>
  <w:style w:type="paragraph" w:customStyle="1" w:styleId="248">
    <w:name w:val="样式 284 10 磅"/>
    <w:autoRedefine/>
    <w:qFormat/>
    <w:uiPriority w:val="0"/>
    <w:pPr>
      <w:widowControl w:val="0"/>
      <w:jc w:val="both"/>
    </w:pPr>
    <w:rPr>
      <w:rFonts w:ascii="Calibri" w:hAnsi="Calibri" w:eastAsia="宋体" w:cs="Arial"/>
      <w:kern w:val="2"/>
      <w:sz w:val="21"/>
      <w:szCs w:val="24"/>
      <w:lang w:val="en-US" w:eastAsia="zh-CN" w:bidi="ar-SA"/>
    </w:rPr>
  </w:style>
  <w:style w:type="paragraph" w:customStyle="1" w:styleId="249">
    <w:name w:val="样式 283 10 磅"/>
    <w:autoRedefine/>
    <w:qFormat/>
    <w:uiPriority w:val="0"/>
    <w:pPr>
      <w:widowControl w:val="0"/>
      <w:jc w:val="both"/>
    </w:pPr>
    <w:rPr>
      <w:rFonts w:ascii="Calibri" w:hAnsi="Calibri" w:eastAsia="宋体" w:cs="Arial"/>
      <w:kern w:val="2"/>
      <w:sz w:val="21"/>
      <w:szCs w:val="24"/>
      <w:lang w:val="en-US" w:eastAsia="zh-CN" w:bidi="ar-SA"/>
    </w:rPr>
  </w:style>
  <w:style w:type="paragraph" w:customStyle="1" w:styleId="250">
    <w:name w:val="样式 282 10 磅"/>
    <w:autoRedefine/>
    <w:qFormat/>
    <w:uiPriority w:val="0"/>
    <w:pPr>
      <w:widowControl w:val="0"/>
      <w:jc w:val="both"/>
    </w:pPr>
    <w:rPr>
      <w:rFonts w:ascii="Calibri" w:hAnsi="Calibri" w:eastAsia="宋体" w:cs="Arial"/>
      <w:kern w:val="2"/>
      <w:sz w:val="21"/>
      <w:szCs w:val="24"/>
      <w:lang w:val="en-US" w:eastAsia="zh-CN" w:bidi="ar-SA"/>
    </w:rPr>
  </w:style>
  <w:style w:type="paragraph" w:customStyle="1" w:styleId="251">
    <w:name w:val="样式 281 10 磅"/>
    <w:autoRedefine/>
    <w:qFormat/>
    <w:uiPriority w:val="0"/>
    <w:pPr>
      <w:widowControl w:val="0"/>
      <w:jc w:val="both"/>
    </w:pPr>
    <w:rPr>
      <w:rFonts w:ascii="Calibri" w:hAnsi="Calibri" w:eastAsia="宋体" w:cs="Arial"/>
      <w:kern w:val="2"/>
      <w:sz w:val="21"/>
      <w:szCs w:val="24"/>
      <w:lang w:val="en-US" w:eastAsia="zh-CN" w:bidi="ar-SA"/>
    </w:rPr>
  </w:style>
  <w:style w:type="paragraph" w:customStyle="1" w:styleId="252">
    <w:name w:val="样式 280 10 磅"/>
    <w:autoRedefine/>
    <w:qFormat/>
    <w:uiPriority w:val="0"/>
    <w:pPr>
      <w:widowControl w:val="0"/>
      <w:jc w:val="both"/>
    </w:pPr>
    <w:rPr>
      <w:rFonts w:ascii="Calibri" w:hAnsi="Calibri" w:eastAsia="宋体" w:cs="Arial"/>
      <w:kern w:val="2"/>
      <w:sz w:val="21"/>
      <w:szCs w:val="24"/>
      <w:lang w:val="en-US" w:eastAsia="zh-CN" w:bidi="ar-SA"/>
    </w:rPr>
  </w:style>
  <w:style w:type="paragraph" w:customStyle="1" w:styleId="253">
    <w:name w:val="样式 279 10 磅"/>
    <w:autoRedefine/>
    <w:qFormat/>
    <w:uiPriority w:val="0"/>
    <w:pPr>
      <w:widowControl w:val="0"/>
      <w:jc w:val="both"/>
    </w:pPr>
    <w:rPr>
      <w:rFonts w:ascii="Calibri" w:hAnsi="Calibri" w:eastAsia="宋体" w:cs="Arial"/>
      <w:kern w:val="2"/>
      <w:sz w:val="21"/>
      <w:szCs w:val="24"/>
      <w:lang w:val="en-US" w:eastAsia="zh-CN" w:bidi="ar-SA"/>
    </w:rPr>
  </w:style>
  <w:style w:type="paragraph" w:customStyle="1" w:styleId="254">
    <w:name w:val="样式 278 10 磅"/>
    <w:autoRedefine/>
    <w:qFormat/>
    <w:uiPriority w:val="0"/>
    <w:pPr>
      <w:widowControl w:val="0"/>
      <w:jc w:val="both"/>
    </w:pPr>
    <w:rPr>
      <w:rFonts w:ascii="Calibri" w:hAnsi="Calibri" w:eastAsia="宋体" w:cs="Arial"/>
      <w:kern w:val="2"/>
      <w:sz w:val="21"/>
      <w:szCs w:val="24"/>
      <w:lang w:val="en-US" w:eastAsia="zh-CN" w:bidi="ar-SA"/>
    </w:rPr>
  </w:style>
  <w:style w:type="paragraph" w:customStyle="1" w:styleId="255">
    <w:name w:val="样式 277 10 磅"/>
    <w:autoRedefine/>
    <w:qFormat/>
    <w:uiPriority w:val="0"/>
    <w:pPr>
      <w:widowControl w:val="0"/>
      <w:jc w:val="both"/>
    </w:pPr>
    <w:rPr>
      <w:rFonts w:ascii="Calibri" w:hAnsi="Calibri" w:eastAsia="宋体" w:cs="Arial"/>
      <w:kern w:val="2"/>
      <w:sz w:val="21"/>
      <w:szCs w:val="24"/>
      <w:lang w:val="en-US" w:eastAsia="zh-CN" w:bidi="ar-SA"/>
    </w:rPr>
  </w:style>
  <w:style w:type="paragraph" w:customStyle="1" w:styleId="256">
    <w:name w:val="样式 276 10 磅"/>
    <w:autoRedefine/>
    <w:qFormat/>
    <w:uiPriority w:val="0"/>
    <w:pPr>
      <w:widowControl w:val="0"/>
      <w:jc w:val="both"/>
    </w:pPr>
    <w:rPr>
      <w:rFonts w:ascii="Calibri" w:hAnsi="Calibri" w:eastAsia="宋体" w:cs="Arial"/>
      <w:kern w:val="2"/>
      <w:sz w:val="21"/>
      <w:szCs w:val="24"/>
      <w:lang w:val="en-US" w:eastAsia="zh-CN" w:bidi="ar-SA"/>
    </w:rPr>
  </w:style>
  <w:style w:type="paragraph" w:customStyle="1" w:styleId="257">
    <w:name w:val="样式 275 10 磅"/>
    <w:autoRedefine/>
    <w:qFormat/>
    <w:uiPriority w:val="0"/>
    <w:pPr>
      <w:widowControl w:val="0"/>
      <w:jc w:val="both"/>
    </w:pPr>
    <w:rPr>
      <w:rFonts w:ascii="Calibri" w:hAnsi="Calibri" w:eastAsia="宋体" w:cs="Arial"/>
      <w:kern w:val="2"/>
      <w:sz w:val="21"/>
      <w:szCs w:val="24"/>
      <w:lang w:val="en-US" w:eastAsia="zh-CN" w:bidi="ar-SA"/>
    </w:rPr>
  </w:style>
  <w:style w:type="paragraph" w:customStyle="1" w:styleId="258">
    <w:name w:val="样式 274 10 磅"/>
    <w:autoRedefine/>
    <w:qFormat/>
    <w:uiPriority w:val="0"/>
    <w:pPr>
      <w:widowControl w:val="0"/>
      <w:jc w:val="both"/>
    </w:pPr>
    <w:rPr>
      <w:rFonts w:ascii="Calibri" w:hAnsi="Calibri" w:eastAsia="宋体" w:cs="Arial"/>
      <w:kern w:val="2"/>
      <w:sz w:val="21"/>
      <w:szCs w:val="24"/>
      <w:lang w:val="en-US" w:eastAsia="zh-CN" w:bidi="ar-SA"/>
    </w:rPr>
  </w:style>
  <w:style w:type="paragraph" w:customStyle="1" w:styleId="259">
    <w:name w:val="样式 273 10 磅"/>
    <w:autoRedefine/>
    <w:qFormat/>
    <w:uiPriority w:val="0"/>
    <w:pPr>
      <w:widowControl w:val="0"/>
      <w:jc w:val="both"/>
    </w:pPr>
    <w:rPr>
      <w:rFonts w:ascii="Calibri" w:hAnsi="Calibri" w:eastAsia="宋体" w:cs="Arial"/>
      <w:kern w:val="2"/>
      <w:sz w:val="21"/>
      <w:szCs w:val="24"/>
      <w:lang w:val="en-US" w:eastAsia="zh-CN" w:bidi="ar-SA"/>
    </w:rPr>
  </w:style>
  <w:style w:type="paragraph" w:customStyle="1" w:styleId="260">
    <w:name w:val="样式 272 10 磅"/>
    <w:autoRedefine/>
    <w:qFormat/>
    <w:uiPriority w:val="0"/>
    <w:pPr>
      <w:widowControl w:val="0"/>
      <w:jc w:val="both"/>
    </w:pPr>
    <w:rPr>
      <w:rFonts w:ascii="Calibri" w:hAnsi="Calibri" w:eastAsia="宋体" w:cs="Arial"/>
      <w:kern w:val="2"/>
      <w:sz w:val="21"/>
      <w:szCs w:val="24"/>
      <w:lang w:val="en-US" w:eastAsia="zh-CN" w:bidi="ar-SA"/>
    </w:rPr>
  </w:style>
  <w:style w:type="paragraph" w:customStyle="1" w:styleId="261">
    <w:name w:val="样式 271 10 磅"/>
    <w:autoRedefine/>
    <w:qFormat/>
    <w:uiPriority w:val="0"/>
    <w:pPr>
      <w:widowControl w:val="0"/>
      <w:jc w:val="both"/>
    </w:pPr>
    <w:rPr>
      <w:rFonts w:ascii="Calibri" w:hAnsi="Calibri" w:eastAsia="宋体" w:cs="Arial"/>
      <w:kern w:val="2"/>
      <w:sz w:val="21"/>
      <w:szCs w:val="24"/>
      <w:lang w:val="en-US" w:eastAsia="zh-CN" w:bidi="ar-SA"/>
    </w:rPr>
  </w:style>
  <w:style w:type="paragraph" w:customStyle="1" w:styleId="262">
    <w:name w:val="样式 270 10 磅"/>
    <w:autoRedefine/>
    <w:qFormat/>
    <w:uiPriority w:val="0"/>
    <w:pPr>
      <w:widowControl w:val="0"/>
      <w:jc w:val="both"/>
    </w:pPr>
    <w:rPr>
      <w:rFonts w:ascii="Calibri" w:hAnsi="Calibri" w:eastAsia="宋体" w:cs="Arial"/>
      <w:kern w:val="2"/>
      <w:sz w:val="21"/>
      <w:szCs w:val="24"/>
      <w:lang w:val="en-US" w:eastAsia="zh-CN" w:bidi="ar-SA"/>
    </w:rPr>
  </w:style>
  <w:style w:type="paragraph" w:customStyle="1" w:styleId="263">
    <w:name w:val="样式 269 10 磅"/>
    <w:autoRedefine/>
    <w:qFormat/>
    <w:uiPriority w:val="0"/>
    <w:pPr>
      <w:widowControl w:val="0"/>
      <w:jc w:val="both"/>
    </w:pPr>
    <w:rPr>
      <w:rFonts w:ascii="Calibri" w:hAnsi="Calibri" w:eastAsia="宋体" w:cs="Arial"/>
      <w:kern w:val="2"/>
      <w:sz w:val="21"/>
      <w:szCs w:val="24"/>
      <w:lang w:val="en-US" w:eastAsia="zh-CN" w:bidi="ar-SA"/>
    </w:rPr>
  </w:style>
  <w:style w:type="paragraph" w:customStyle="1" w:styleId="264">
    <w:name w:val="样式 268 10 磅"/>
    <w:autoRedefine/>
    <w:qFormat/>
    <w:uiPriority w:val="0"/>
    <w:pPr>
      <w:widowControl w:val="0"/>
      <w:jc w:val="both"/>
    </w:pPr>
    <w:rPr>
      <w:rFonts w:ascii="Calibri" w:hAnsi="Calibri" w:eastAsia="宋体" w:cs="Arial"/>
      <w:kern w:val="2"/>
      <w:sz w:val="21"/>
      <w:szCs w:val="24"/>
      <w:lang w:val="en-US" w:eastAsia="zh-CN" w:bidi="ar-SA"/>
    </w:rPr>
  </w:style>
  <w:style w:type="paragraph" w:customStyle="1" w:styleId="265">
    <w:name w:val="样式 267 10 磅"/>
    <w:autoRedefine/>
    <w:qFormat/>
    <w:uiPriority w:val="0"/>
    <w:pPr>
      <w:widowControl w:val="0"/>
      <w:jc w:val="both"/>
    </w:pPr>
    <w:rPr>
      <w:rFonts w:ascii="Calibri" w:hAnsi="Calibri" w:eastAsia="宋体" w:cs="Arial"/>
      <w:kern w:val="2"/>
      <w:sz w:val="21"/>
      <w:szCs w:val="24"/>
      <w:lang w:val="en-US" w:eastAsia="zh-CN" w:bidi="ar-SA"/>
    </w:rPr>
  </w:style>
  <w:style w:type="paragraph" w:customStyle="1" w:styleId="266">
    <w:name w:val="样式 266 10 磅"/>
    <w:autoRedefine/>
    <w:qFormat/>
    <w:uiPriority w:val="0"/>
    <w:pPr>
      <w:widowControl w:val="0"/>
      <w:jc w:val="both"/>
    </w:pPr>
    <w:rPr>
      <w:rFonts w:ascii="Calibri" w:hAnsi="Calibri" w:eastAsia="宋体" w:cs="Arial"/>
      <w:kern w:val="2"/>
      <w:sz w:val="21"/>
      <w:szCs w:val="24"/>
      <w:lang w:val="en-US" w:eastAsia="zh-CN" w:bidi="ar-SA"/>
    </w:rPr>
  </w:style>
  <w:style w:type="paragraph" w:customStyle="1" w:styleId="267">
    <w:name w:val="样式 265 10 磅"/>
    <w:autoRedefine/>
    <w:qFormat/>
    <w:uiPriority w:val="0"/>
    <w:pPr>
      <w:widowControl w:val="0"/>
      <w:jc w:val="both"/>
    </w:pPr>
    <w:rPr>
      <w:rFonts w:ascii="Calibri" w:hAnsi="Calibri" w:eastAsia="宋体" w:cs="Arial"/>
      <w:kern w:val="2"/>
      <w:sz w:val="21"/>
      <w:szCs w:val="24"/>
      <w:lang w:val="en-US" w:eastAsia="zh-CN" w:bidi="ar-SA"/>
    </w:rPr>
  </w:style>
  <w:style w:type="paragraph" w:customStyle="1" w:styleId="268">
    <w:name w:val="样式 264 10 磅"/>
    <w:autoRedefine/>
    <w:qFormat/>
    <w:uiPriority w:val="0"/>
    <w:pPr>
      <w:widowControl w:val="0"/>
      <w:jc w:val="both"/>
    </w:pPr>
    <w:rPr>
      <w:rFonts w:ascii="Calibri" w:hAnsi="Calibri" w:eastAsia="宋体" w:cs="Arial"/>
      <w:kern w:val="2"/>
      <w:sz w:val="21"/>
      <w:szCs w:val="24"/>
      <w:lang w:val="en-US" w:eastAsia="zh-CN" w:bidi="ar-SA"/>
    </w:rPr>
  </w:style>
  <w:style w:type="paragraph" w:customStyle="1" w:styleId="269">
    <w:name w:val="样式 263 10 磅"/>
    <w:autoRedefine/>
    <w:qFormat/>
    <w:uiPriority w:val="0"/>
    <w:pPr>
      <w:widowControl w:val="0"/>
      <w:jc w:val="both"/>
    </w:pPr>
    <w:rPr>
      <w:rFonts w:ascii="Calibri" w:hAnsi="Calibri" w:eastAsia="宋体" w:cs="Arial"/>
      <w:kern w:val="2"/>
      <w:sz w:val="21"/>
      <w:szCs w:val="24"/>
      <w:lang w:val="en-US" w:eastAsia="zh-CN" w:bidi="ar-SA"/>
    </w:rPr>
  </w:style>
  <w:style w:type="paragraph" w:customStyle="1" w:styleId="270">
    <w:name w:val="样式 262 10 磅"/>
    <w:autoRedefine/>
    <w:qFormat/>
    <w:uiPriority w:val="0"/>
    <w:pPr>
      <w:widowControl w:val="0"/>
      <w:jc w:val="both"/>
    </w:pPr>
    <w:rPr>
      <w:rFonts w:ascii="Calibri" w:hAnsi="Calibri" w:eastAsia="宋体" w:cs="Arial"/>
      <w:kern w:val="2"/>
      <w:sz w:val="21"/>
      <w:szCs w:val="24"/>
      <w:lang w:val="en-US" w:eastAsia="zh-CN" w:bidi="ar-SA"/>
    </w:rPr>
  </w:style>
  <w:style w:type="paragraph" w:customStyle="1" w:styleId="271">
    <w:name w:val="样式 261 10 磅"/>
    <w:autoRedefine/>
    <w:qFormat/>
    <w:uiPriority w:val="0"/>
    <w:pPr>
      <w:widowControl w:val="0"/>
      <w:jc w:val="both"/>
    </w:pPr>
    <w:rPr>
      <w:rFonts w:ascii="Calibri" w:hAnsi="Calibri" w:eastAsia="宋体" w:cs="Arial"/>
      <w:kern w:val="2"/>
      <w:sz w:val="21"/>
      <w:szCs w:val="24"/>
      <w:lang w:val="en-US" w:eastAsia="zh-CN" w:bidi="ar-SA"/>
    </w:rPr>
  </w:style>
  <w:style w:type="paragraph" w:customStyle="1" w:styleId="272">
    <w:name w:val="样式 260 10 磅"/>
    <w:autoRedefine/>
    <w:qFormat/>
    <w:uiPriority w:val="0"/>
    <w:pPr>
      <w:widowControl w:val="0"/>
      <w:jc w:val="both"/>
    </w:pPr>
    <w:rPr>
      <w:rFonts w:ascii="Calibri" w:hAnsi="Calibri" w:eastAsia="宋体" w:cs="Arial"/>
      <w:kern w:val="2"/>
      <w:sz w:val="21"/>
      <w:szCs w:val="24"/>
      <w:lang w:val="en-US" w:eastAsia="zh-CN" w:bidi="ar-SA"/>
    </w:rPr>
  </w:style>
  <w:style w:type="paragraph" w:customStyle="1" w:styleId="273">
    <w:name w:val="样式 259 10 磅"/>
    <w:autoRedefine/>
    <w:qFormat/>
    <w:uiPriority w:val="0"/>
    <w:pPr>
      <w:widowControl w:val="0"/>
      <w:jc w:val="both"/>
    </w:pPr>
    <w:rPr>
      <w:rFonts w:ascii="Calibri" w:hAnsi="Calibri" w:eastAsia="宋体" w:cs="Arial"/>
      <w:kern w:val="2"/>
      <w:sz w:val="21"/>
      <w:szCs w:val="24"/>
      <w:lang w:val="en-US" w:eastAsia="zh-CN" w:bidi="ar-SA"/>
    </w:rPr>
  </w:style>
  <w:style w:type="paragraph" w:customStyle="1" w:styleId="274">
    <w:name w:val="样式 258 10 磅"/>
    <w:autoRedefine/>
    <w:qFormat/>
    <w:uiPriority w:val="0"/>
    <w:pPr>
      <w:widowControl w:val="0"/>
      <w:jc w:val="both"/>
    </w:pPr>
    <w:rPr>
      <w:rFonts w:ascii="Calibri" w:hAnsi="Calibri" w:eastAsia="宋体" w:cs="Arial"/>
      <w:kern w:val="2"/>
      <w:sz w:val="21"/>
      <w:szCs w:val="24"/>
      <w:lang w:val="en-US" w:eastAsia="zh-CN" w:bidi="ar-SA"/>
    </w:rPr>
  </w:style>
  <w:style w:type="paragraph" w:customStyle="1" w:styleId="275">
    <w:name w:val="样式 257 10 磅"/>
    <w:autoRedefine/>
    <w:qFormat/>
    <w:uiPriority w:val="0"/>
    <w:pPr>
      <w:widowControl w:val="0"/>
      <w:jc w:val="both"/>
    </w:pPr>
    <w:rPr>
      <w:rFonts w:ascii="Calibri" w:hAnsi="Calibri" w:eastAsia="宋体" w:cs="Arial"/>
      <w:kern w:val="2"/>
      <w:sz w:val="21"/>
      <w:szCs w:val="24"/>
      <w:lang w:val="en-US" w:eastAsia="zh-CN" w:bidi="ar-SA"/>
    </w:rPr>
  </w:style>
  <w:style w:type="paragraph" w:customStyle="1" w:styleId="276">
    <w:name w:val="样式 256 10 磅"/>
    <w:autoRedefine/>
    <w:qFormat/>
    <w:uiPriority w:val="0"/>
    <w:pPr>
      <w:widowControl w:val="0"/>
      <w:jc w:val="both"/>
    </w:pPr>
    <w:rPr>
      <w:rFonts w:ascii="Calibri" w:hAnsi="Calibri" w:eastAsia="宋体" w:cs="Arial"/>
      <w:kern w:val="2"/>
      <w:sz w:val="21"/>
      <w:szCs w:val="24"/>
      <w:lang w:val="en-US" w:eastAsia="zh-CN" w:bidi="ar-SA"/>
    </w:rPr>
  </w:style>
  <w:style w:type="paragraph" w:customStyle="1" w:styleId="277">
    <w:name w:val="样式 255 10 磅"/>
    <w:autoRedefine/>
    <w:qFormat/>
    <w:uiPriority w:val="0"/>
    <w:pPr>
      <w:widowControl w:val="0"/>
      <w:jc w:val="both"/>
    </w:pPr>
    <w:rPr>
      <w:rFonts w:ascii="Calibri" w:hAnsi="Calibri" w:eastAsia="宋体" w:cs="Arial"/>
      <w:kern w:val="2"/>
      <w:sz w:val="21"/>
      <w:szCs w:val="24"/>
      <w:lang w:val="en-US" w:eastAsia="zh-CN" w:bidi="ar-SA"/>
    </w:rPr>
  </w:style>
  <w:style w:type="paragraph" w:customStyle="1" w:styleId="278">
    <w:name w:val="样式 254 10 磅"/>
    <w:autoRedefine/>
    <w:qFormat/>
    <w:uiPriority w:val="0"/>
    <w:pPr>
      <w:widowControl w:val="0"/>
      <w:jc w:val="both"/>
    </w:pPr>
    <w:rPr>
      <w:rFonts w:ascii="Calibri" w:hAnsi="Calibri" w:eastAsia="宋体" w:cs="Arial"/>
      <w:kern w:val="2"/>
      <w:sz w:val="21"/>
      <w:szCs w:val="24"/>
      <w:lang w:val="en-US" w:eastAsia="zh-CN" w:bidi="ar-SA"/>
    </w:rPr>
  </w:style>
  <w:style w:type="paragraph" w:customStyle="1" w:styleId="279">
    <w:name w:val="样式 253 10 磅"/>
    <w:autoRedefine/>
    <w:qFormat/>
    <w:uiPriority w:val="0"/>
    <w:pPr>
      <w:widowControl w:val="0"/>
      <w:jc w:val="both"/>
    </w:pPr>
    <w:rPr>
      <w:rFonts w:ascii="Calibri" w:hAnsi="Calibri" w:eastAsia="宋体" w:cs="Arial"/>
      <w:kern w:val="2"/>
      <w:sz w:val="21"/>
      <w:szCs w:val="24"/>
      <w:lang w:val="en-US" w:eastAsia="zh-CN" w:bidi="ar-SA"/>
    </w:rPr>
  </w:style>
  <w:style w:type="paragraph" w:customStyle="1" w:styleId="280">
    <w:name w:val="样式 252 10 磅"/>
    <w:autoRedefine/>
    <w:qFormat/>
    <w:uiPriority w:val="0"/>
    <w:pPr>
      <w:widowControl w:val="0"/>
      <w:jc w:val="both"/>
    </w:pPr>
    <w:rPr>
      <w:rFonts w:ascii="Calibri" w:hAnsi="Calibri" w:eastAsia="宋体" w:cs="Arial"/>
      <w:kern w:val="2"/>
      <w:sz w:val="21"/>
      <w:szCs w:val="24"/>
      <w:lang w:val="en-US" w:eastAsia="zh-CN" w:bidi="ar-SA"/>
    </w:rPr>
  </w:style>
  <w:style w:type="paragraph" w:customStyle="1" w:styleId="281">
    <w:name w:val="样式 251 10 磅"/>
    <w:autoRedefine/>
    <w:qFormat/>
    <w:uiPriority w:val="0"/>
    <w:pPr>
      <w:widowControl w:val="0"/>
      <w:jc w:val="both"/>
    </w:pPr>
    <w:rPr>
      <w:rFonts w:ascii="Calibri" w:hAnsi="Calibri" w:eastAsia="宋体" w:cs="Arial"/>
      <w:kern w:val="2"/>
      <w:sz w:val="21"/>
      <w:szCs w:val="24"/>
      <w:lang w:val="en-US" w:eastAsia="zh-CN" w:bidi="ar-SA"/>
    </w:rPr>
  </w:style>
  <w:style w:type="paragraph" w:customStyle="1" w:styleId="282">
    <w:name w:val="样式 250 10 磅"/>
    <w:autoRedefine/>
    <w:qFormat/>
    <w:uiPriority w:val="0"/>
    <w:pPr>
      <w:widowControl w:val="0"/>
      <w:jc w:val="both"/>
    </w:pPr>
    <w:rPr>
      <w:rFonts w:ascii="Calibri" w:hAnsi="Calibri" w:eastAsia="宋体" w:cs="Arial"/>
      <w:kern w:val="2"/>
      <w:sz w:val="21"/>
      <w:szCs w:val="24"/>
      <w:lang w:val="en-US" w:eastAsia="zh-CN" w:bidi="ar-SA"/>
    </w:rPr>
  </w:style>
  <w:style w:type="paragraph" w:customStyle="1" w:styleId="283">
    <w:name w:val="样式 249 10 磅"/>
    <w:autoRedefine/>
    <w:qFormat/>
    <w:uiPriority w:val="0"/>
    <w:pPr>
      <w:widowControl w:val="0"/>
      <w:jc w:val="both"/>
    </w:pPr>
    <w:rPr>
      <w:rFonts w:ascii="Calibri" w:hAnsi="Calibri" w:eastAsia="宋体" w:cs="Arial"/>
      <w:kern w:val="2"/>
      <w:sz w:val="21"/>
      <w:szCs w:val="24"/>
      <w:lang w:val="en-US" w:eastAsia="zh-CN" w:bidi="ar-SA"/>
    </w:rPr>
  </w:style>
  <w:style w:type="paragraph" w:customStyle="1" w:styleId="284">
    <w:name w:val="样式 248 10 磅"/>
    <w:autoRedefine/>
    <w:qFormat/>
    <w:uiPriority w:val="0"/>
    <w:pPr>
      <w:widowControl w:val="0"/>
      <w:jc w:val="both"/>
    </w:pPr>
    <w:rPr>
      <w:rFonts w:ascii="Calibri" w:hAnsi="Calibri" w:eastAsia="宋体" w:cs="Arial"/>
      <w:kern w:val="2"/>
      <w:sz w:val="21"/>
      <w:szCs w:val="24"/>
      <w:lang w:val="en-US" w:eastAsia="zh-CN" w:bidi="ar-SA"/>
    </w:rPr>
  </w:style>
  <w:style w:type="paragraph" w:customStyle="1" w:styleId="285">
    <w:name w:val="样式 247 10 磅"/>
    <w:autoRedefine/>
    <w:qFormat/>
    <w:uiPriority w:val="0"/>
    <w:pPr>
      <w:widowControl w:val="0"/>
      <w:jc w:val="both"/>
    </w:pPr>
    <w:rPr>
      <w:rFonts w:ascii="Calibri" w:hAnsi="Calibri" w:eastAsia="宋体" w:cs="Arial"/>
      <w:kern w:val="2"/>
      <w:sz w:val="21"/>
      <w:szCs w:val="24"/>
      <w:lang w:val="en-US" w:eastAsia="zh-CN" w:bidi="ar-SA"/>
    </w:rPr>
  </w:style>
  <w:style w:type="paragraph" w:customStyle="1" w:styleId="286">
    <w:name w:val="样式 246 10 磅"/>
    <w:autoRedefine/>
    <w:qFormat/>
    <w:uiPriority w:val="0"/>
    <w:pPr>
      <w:widowControl w:val="0"/>
      <w:jc w:val="both"/>
    </w:pPr>
    <w:rPr>
      <w:rFonts w:ascii="Calibri" w:hAnsi="Calibri" w:eastAsia="宋体" w:cs="Arial"/>
      <w:kern w:val="2"/>
      <w:sz w:val="21"/>
      <w:szCs w:val="24"/>
      <w:lang w:val="en-US" w:eastAsia="zh-CN" w:bidi="ar-SA"/>
    </w:rPr>
  </w:style>
  <w:style w:type="paragraph" w:customStyle="1" w:styleId="287">
    <w:name w:val="样式 245 10 磅"/>
    <w:autoRedefine/>
    <w:qFormat/>
    <w:uiPriority w:val="0"/>
    <w:pPr>
      <w:widowControl w:val="0"/>
      <w:jc w:val="both"/>
    </w:pPr>
    <w:rPr>
      <w:rFonts w:ascii="Calibri" w:hAnsi="Calibri" w:eastAsia="宋体" w:cs="Arial"/>
      <w:kern w:val="2"/>
      <w:sz w:val="21"/>
      <w:szCs w:val="24"/>
      <w:lang w:val="en-US" w:eastAsia="zh-CN" w:bidi="ar-SA"/>
    </w:rPr>
  </w:style>
  <w:style w:type="paragraph" w:customStyle="1" w:styleId="288">
    <w:name w:val="样式 244 10 磅"/>
    <w:autoRedefine/>
    <w:qFormat/>
    <w:uiPriority w:val="0"/>
    <w:pPr>
      <w:widowControl w:val="0"/>
      <w:jc w:val="both"/>
    </w:pPr>
    <w:rPr>
      <w:rFonts w:ascii="Calibri" w:hAnsi="Calibri" w:eastAsia="宋体" w:cs="Arial"/>
      <w:kern w:val="2"/>
      <w:sz w:val="21"/>
      <w:szCs w:val="24"/>
      <w:lang w:val="en-US" w:eastAsia="zh-CN" w:bidi="ar-SA"/>
    </w:rPr>
  </w:style>
  <w:style w:type="paragraph" w:customStyle="1" w:styleId="289">
    <w:name w:val="样式 243 10 磅"/>
    <w:autoRedefine/>
    <w:qFormat/>
    <w:uiPriority w:val="0"/>
    <w:pPr>
      <w:widowControl w:val="0"/>
      <w:jc w:val="both"/>
    </w:pPr>
    <w:rPr>
      <w:rFonts w:ascii="Calibri" w:hAnsi="Calibri" w:eastAsia="宋体" w:cs="Arial"/>
      <w:kern w:val="2"/>
      <w:sz w:val="21"/>
      <w:szCs w:val="24"/>
      <w:lang w:val="en-US" w:eastAsia="zh-CN" w:bidi="ar-SA"/>
    </w:rPr>
  </w:style>
  <w:style w:type="paragraph" w:customStyle="1" w:styleId="290">
    <w:name w:val="样式 242 10 磅"/>
    <w:autoRedefine/>
    <w:qFormat/>
    <w:uiPriority w:val="0"/>
    <w:pPr>
      <w:widowControl w:val="0"/>
      <w:jc w:val="both"/>
    </w:pPr>
    <w:rPr>
      <w:rFonts w:ascii="Calibri" w:hAnsi="Calibri" w:eastAsia="宋体" w:cs="Arial"/>
      <w:kern w:val="2"/>
      <w:sz w:val="21"/>
      <w:szCs w:val="24"/>
      <w:lang w:val="en-US" w:eastAsia="zh-CN" w:bidi="ar-SA"/>
    </w:rPr>
  </w:style>
  <w:style w:type="paragraph" w:customStyle="1" w:styleId="291">
    <w:name w:val="样式 241 10 磅"/>
    <w:autoRedefine/>
    <w:qFormat/>
    <w:uiPriority w:val="0"/>
    <w:pPr>
      <w:widowControl w:val="0"/>
      <w:jc w:val="both"/>
    </w:pPr>
    <w:rPr>
      <w:rFonts w:ascii="Calibri" w:hAnsi="Calibri" w:eastAsia="宋体" w:cs="Arial"/>
      <w:kern w:val="2"/>
      <w:sz w:val="21"/>
      <w:szCs w:val="24"/>
      <w:lang w:val="en-US" w:eastAsia="zh-CN" w:bidi="ar-SA"/>
    </w:rPr>
  </w:style>
  <w:style w:type="paragraph" w:customStyle="1" w:styleId="292">
    <w:name w:val="样式 240 10 磅"/>
    <w:autoRedefine/>
    <w:qFormat/>
    <w:uiPriority w:val="0"/>
    <w:pPr>
      <w:widowControl w:val="0"/>
      <w:jc w:val="both"/>
    </w:pPr>
    <w:rPr>
      <w:rFonts w:ascii="Calibri" w:hAnsi="Calibri" w:eastAsia="宋体" w:cs="Arial"/>
      <w:kern w:val="2"/>
      <w:sz w:val="21"/>
      <w:szCs w:val="24"/>
      <w:lang w:val="en-US" w:eastAsia="zh-CN" w:bidi="ar-SA"/>
    </w:rPr>
  </w:style>
  <w:style w:type="paragraph" w:customStyle="1" w:styleId="293">
    <w:name w:val="样式 239 10 磅"/>
    <w:autoRedefine/>
    <w:qFormat/>
    <w:uiPriority w:val="0"/>
    <w:pPr>
      <w:widowControl w:val="0"/>
      <w:jc w:val="both"/>
    </w:pPr>
    <w:rPr>
      <w:rFonts w:ascii="Calibri" w:hAnsi="Calibri" w:eastAsia="宋体" w:cs="Arial"/>
      <w:kern w:val="2"/>
      <w:sz w:val="21"/>
      <w:szCs w:val="24"/>
      <w:lang w:val="en-US" w:eastAsia="zh-CN" w:bidi="ar-SA"/>
    </w:rPr>
  </w:style>
  <w:style w:type="paragraph" w:customStyle="1" w:styleId="294">
    <w:name w:val="样式 238 10 磅"/>
    <w:autoRedefine/>
    <w:qFormat/>
    <w:uiPriority w:val="0"/>
    <w:pPr>
      <w:widowControl w:val="0"/>
      <w:jc w:val="both"/>
    </w:pPr>
    <w:rPr>
      <w:rFonts w:ascii="Calibri" w:hAnsi="Calibri" w:eastAsia="宋体" w:cs="Arial"/>
      <w:kern w:val="2"/>
      <w:sz w:val="21"/>
      <w:szCs w:val="24"/>
      <w:lang w:val="en-US" w:eastAsia="zh-CN" w:bidi="ar-SA"/>
    </w:rPr>
  </w:style>
  <w:style w:type="paragraph" w:customStyle="1" w:styleId="295">
    <w:name w:val="样式 237 10 磅"/>
    <w:autoRedefine/>
    <w:qFormat/>
    <w:uiPriority w:val="0"/>
    <w:pPr>
      <w:widowControl w:val="0"/>
      <w:jc w:val="both"/>
    </w:pPr>
    <w:rPr>
      <w:rFonts w:ascii="Calibri" w:hAnsi="Calibri" w:eastAsia="宋体" w:cs="Arial"/>
      <w:kern w:val="2"/>
      <w:sz w:val="21"/>
      <w:szCs w:val="24"/>
      <w:lang w:val="en-US" w:eastAsia="zh-CN" w:bidi="ar-SA"/>
    </w:rPr>
  </w:style>
  <w:style w:type="paragraph" w:customStyle="1" w:styleId="296">
    <w:name w:val="样式 236 10 磅"/>
    <w:autoRedefine/>
    <w:qFormat/>
    <w:uiPriority w:val="0"/>
    <w:pPr>
      <w:widowControl w:val="0"/>
      <w:jc w:val="both"/>
    </w:pPr>
    <w:rPr>
      <w:rFonts w:ascii="Calibri" w:hAnsi="Calibri" w:eastAsia="宋体" w:cs="Arial"/>
      <w:kern w:val="2"/>
      <w:sz w:val="21"/>
      <w:szCs w:val="24"/>
      <w:lang w:val="en-US" w:eastAsia="zh-CN" w:bidi="ar-SA"/>
    </w:rPr>
  </w:style>
  <w:style w:type="paragraph" w:customStyle="1" w:styleId="297">
    <w:name w:val="样式 235 10 磅"/>
    <w:autoRedefine/>
    <w:qFormat/>
    <w:uiPriority w:val="0"/>
    <w:pPr>
      <w:widowControl w:val="0"/>
      <w:jc w:val="both"/>
    </w:pPr>
    <w:rPr>
      <w:rFonts w:ascii="Calibri" w:hAnsi="Calibri" w:eastAsia="宋体" w:cs="Arial"/>
      <w:kern w:val="2"/>
      <w:sz w:val="21"/>
      <w:szCs w:val="24"/>
      <w:lang w:val="en-US" w:eastAsia="zh-CN" w:bidi="ar-SA"/>
    </w:rPr>
  </w:style>
  <w:style w:type="paragraph" w:customStyle="1" w:styleId="298">
    <w:name w:val="样式 234 10 磅"/>
    <w:autoRedefine/>
    <w:qFormat/>
    <w:uiPriority w:val="0"/>
    <w:pPr>
      <w:widowControl w:val="0"/>
      <w:jc w:val="both"/>
    </w:pPr>
    <w:rPr>
      <w:rFonts w:ascii="Calibri" w:hAnsi="Calibri" w:eastAsia="宋体" w:cs="Arial"/>
      <w:kern w:val="2"/>
      <w:sz w:val="21"/>
      <w:szCs w:val="24"/>
      <w:lang w:val="en-US" w:eastAsia="zh-CN" w:bidi="ar-SA"/>
    </w:rPr>
  </w:style>
  <w:style w:type="paragraph" w:customStyle="1" w:styleId="299">
    <w:name w:val="样式 233 10 磅"/>
    <w:autoRedefine/>
    <w:qFormat/>
    <w:uiPriority w:val="0"/>
    <w:pPr>
      <w:widowControl w:val="0"/>
      <w:jc w:val="both"/>
    </w:pPr>
    <w:rPr>
      <w:rFonts w:ascii="Calibri" w:hAnsi="Calibri" w:eastAsia="宋体" w:cs="Arial"/>
      <w:kern w:val="2"/>
      <w:sz w:val="21"/>
      <w:szCs w:val="24"/>
      <w:lang w:val="en-US" w:eastAsia="zh-CN" w:bidi="ar-SA"/>
    </w:rPr>
  </w:style>
  <w:style w:type="paragraph" w:customStyle="1" w:styleId="300">
    <w:name w:val="样式 229 10 磅"/>
    <w:autoRedefine/>
    <w:qFormat/>
    <w:uiPriority w:val="0"/>
    <w:pPr>
      <w:widowControl w:val="0"/>
      <w:jc w:val="both"/>
    </w:pPr>
    <w:rPr>
      <w:rFonts w:ascii="Calibri" w:hAnsi="Calibri" w:eastAsia="宋体" w:cs="Arial"/>
      <w:kern w:val="2"/>
      <w:sz w:val="21"/>
      <w:szCs w:val="24"/>
      <w:lang w:val="en-US" w:eastAsia="zh-CN" w:bidi="ar-SA"/>
    </w:rPr>
  </w:style>
  <w:style w:type="paragraph" w:customStyle="1" w:styleId="301">
    <w:name w:val="样式 228 10 磅"/>
    <w:autoRedefine/>
    <w:qFormat/>
    <w:uiPriority w:val="0"/>
    <w:pPr>
      <w:widowControl w:val="0"/>
      <w:jc w:val="both"/>
    </w:pPr>
    <w:rPr>
      <w:rFonts w:ascii="Calibri" w:hAnsi="Calibri" w:eastAsia="宋体" w:cs="Arial"/>
      <w:kern w:val="2"/>
      <w:sz w:val="21"/>
      <w:szCs w:val="24"/>
      <w:lang w:val="en-US" w:eastAsia="zh-CN" w:bidi="ar-SA"/>
    </w:rPr>
  </w:style>
  <w:style w:type="paragraph" w:customStyle="1" w:styleId="302">
    <w:name w:val="样式 227 10 磅"/>
    <w:autoRedefine/>
    <w:qFormat/>
    <w:uiPriority w:val="0"/>
    <w:pPr>
      <w:widowControl w:val="0"/>
      <w:jc w:val="both"/>
    </w:pPr>
    <w:rPr>
      <w:rFonts w:ascii="Calibri" w:hAnsi="Calibri" w:eastAsia="宋体" w:cs="Arial"/>
      <w:kern w:val="2"/>
      <w:sz w:val="21"/>
      <w:szCs w:val="24"/>
      <w:lang w:val="en-US" w:eastAsia="zh-CN" w:bidi="ar-SA"/>
    </w:rPr>
  </w:style>
  <w:style w:type="paragraph" w:customStyle="1" w:styleId="303">
    <w:name w:val="样式 226 10 磅"/>
    <w:autoRedefine/>
    <w:qFormat/>
    <w:uiPriority w:val="0"/>
    <w:pPr>
      <w:widowControl w:val="0"/>
      <w:jc w:val="both"/>
    </w:pPr>
    <w:rPr>
      <w:rFonts w:ascii="Calibri" w:hAnsi="Calibri" w:eastAsia="宋体" w:cs="Arial"/>
      <w:kern w:val="2"/>
      <w:sz w:val="21"/>
      <w:szCs w:val="24"/>
      <w:lang w:val="en-US" w:eastAsia="zh-CN" w:bidi="ar-SA"/>
    </w:rPr>
  </w:style>
  <w:style w:type="paragraph" w:customStyle="1" w:styleId="304">
    <w:name w:val="样式 225 10 磅"/>
    <w:autoRedefine/>
    <w:qFormat/>
    <w:uiPriority w:val="0"/>
    <w:pPr>
      <w:widowControl w:val="0"/>
      <w:jc w:val="both"/>
    </w:pPr>
    <w:rPr>
      <w:rFonts w:ascii="Calibri" w:hAnsi="Calibri" w:eastAsia="宋体" w:cs="Arial"/>
      <w:kern w:val="2"/>
      <w:sz w:val="21"/>
      <w:szCs w:val="24"/>
      <w:lang w:val="en-US" w:eastAsia="zh-CN" w:bidi="ar-SA"/>
    </w:rPr>
  </w:style>
  <w:style w:type="paragraph" w:customStyle="1" w:styleId="305">
    <w:name w:val="样式 224 10 磅"/>
    <w:autoRedefine/>
    <w:qFormat/>
    <w:uiPriority w:val="0"/>
    <w:pPr>
      <w:widowControl w:val="0"/>
      <w:jc w:val="both"/>
    </w:pPr>
    <w:rPr>
      <w:rFonts w:ascii="Calibri" w:hAnsi="Calibri" w:eastAsia="宋体" w:cs="Arial"/>
      <w:kern w:val="2"/>
      <w:sz w:val="21"/>
      <w:szCs w:val="24"/>
      <w:lang w:val="en-US" w:eastAsia="zh-CN" w:bidi="ar-SA"/>
    </w:rPr>
  </w:style>
  <w:style w:type="paragraph" w:customStyle="1" w:styleId="306">
    <w:name w:val="样式 223 10 磅"/>
    <w:autoRedefine/>
    <w:qFormat/>
    <w:uiPriority w:val="0"/>
    <w:pPr>
      <w:widowControl w:val="0"/>
      <w:jc w:val="both"/>
    </w:pPr>
    <w:rPr>
      <w:rFonts w:ascii="Calibri" w:hAnsi="Calibri" w:eastAsia="宋体" w:cs="Arial"/>
      <w:kern w:val="2"/>
      <w:sz w:val="21"/>
      <w:szCs w:val="24"/>
      <w:lang w:val="en-US" w:eastAsia="zh-CN" w:bidi="ar-SA"/>
    </w:rPr>
  </w:style>
  <w:style w:type="paragraph" w:customStyle="1" w:styleId="307">
    <w:name w:val="样式 222 10 磅"/>
    <w:autoRedefine/>
    <w:qFormat/>
    <w:uiPriority w:val="0"/>
    <w:pPr>
      <w:widowControl w:val="0"/>
      <w:jc w:val="both"/>
    </w:pPr>
    <w:rPr>
      <w:rFonts w:ascii="Calibri" w:hAnsi="Calibri" w:eastAsia="宋体" w:cs="Arial"/>
      <w:kern w:val="2"/>
      <w:sz w:val="21"/>
      <w:szCs w:val="24"/>
      <w:lang w:val="en-US" w:eastAsia="zh-CN" w:bidi="ar-SA"/>
    </w:rPr>
  </w:style>
  <w:style w:type="paragraph" w:customStyle="1" w:styleId="308">
    <w:name w:val="样式 221 10 磅"/>
    <w:autoRedefine/>
    <w:qFormat/>
    <w:uiPriority w:val="0"/>
    <w:pPr>
      <w:widowControl w:val="0"/>
      <w:jc w:val="both"/>
    </w:pPr>
    <w:rPr>
      <w:rFonts w:ascii="Calibri" w:hAnsi="Calibri" w:eastAsia="宋体" w:cs="Arial"/>
      <w:kern w:val="2"/>
      <w:sz w:val="21"/>
      <w:szCs w:val="24"/>
      <w:lang w:val="en-US" w:eastAsia="zh-CN" w:bidi="ar-SA"/>
    </w:rPr>
  </w:style>
  <w:style w:type="paragraph" w:customStyle="1" w:styleId="309">
    <w:name w:val="样式 220 10 磅"/>
    <w:autoRedefine/>
    <w:qFormat/>
    <w:uiPriority w:val="0"/>
    <w:pPr>
      <w:widowControl w:val="0"/>
      <w:jc w:val="both"/>
    </w:pPr>
    <w:rPr>
      <w:rFonts w:ascii="Calibri" w:hAnsi="Calibri" w:eastAsia="宋体" w:cs="Arial"/>
      <w:kern w:val="2"/>
      <w:sz w:val="21"/>
      <w:szCs w:val="24"/>
      <w:lang w:val="en-US" w:eastAsia="zh-CN" w:bidi="ar-SA"/>
    </w:rPr>
  </w:style>
  <w:style w:type="paragraph" w:customStyle="1" w:styleId="310">
    <w:name w:val="样式 219 10 磅"/>
    <w:autoRedefine/>
    <w:qFormat/>
    <w:uiPriority w:val="0"/>
    <w:pPr>
      <w:widowControl w:val="0"/>
      <w:jc w:val="both"/>
    </w:pPr>
    <w:rPr>
      <w:rFonts w:ascii="Calibri" w:hAnsi="Calibri" w:eastAsia="宋体" w:cs="Arial"/>
      <w:kern w:val="2"/>
      <w:sz w:val="21"/>
      <w:szCs w:val="24"/>
      <w:lang w:val="en-US" w:eastAsia="zh-CN" w:bidi="ar-SA"/>
    </w:rPr>
  </w:style>
  <w:style w:type="paragraph" w:customStyle="1" w:styleId="311">
    <w:name w:val="样式 218 10 磅"/>
    <w:autoRedefine/>
    <w:qFormat/>
    <w:uiPriority w:val="0"/>
    <w:pPr>
      <w:widowControl w:val="0"/>
      <w:jc w:val="both"/>
    </w:pPr>
    <w:rPr>
      <w:rFonts w:ascii="Calibri" w:hAnsi="Calibri" w:eastAsia="宋体" w:cs="Arial"/>
      <w:kern w:val="2"/>
      <w:sz w:val="21"/>
      <w:szCs w:val="24"/>
      <w:lang w:val="en-US" w:eastAsia="zh-CN" w:bidi="ar-SA"/>
    </w:rPr>
  </w:style>
  <w:style w:type="paragraph" w:customStyle="1" w:styleId="312">
    <w:name w:val="样式 217 10 磅"/>
    <w:autoRedefine/>
    <w:qFormat/>
    <w:uiPriority w:val="0"/>
    <w:pPr>
      <w:widowControl w:val="0"/>
      <w:jc w:val="both"/>
    </w:pPr>
    <w:rPr>
      <w:rFonts w:ascii="Calibri" w:hAnsi="Calibri" w:eastAsia="宋体" w:cs="Arial"/>
      <w:kern w:val="2"/>
      <w:sz w:val="21"/>
      <w:szCs w:val="24"/>
      <w:lang w:val="en-US" w:eastAsia="zh-CN" w:bidi="ar-SA"/>
    </w:rPr>
  </w:style>
  <w:style w:type="paragraph" w:customStyle="1" w:styleId="313">
    <w:name w:val="样式 216 10 磅"/>
    <w:autoRedefine/>
    <w:qFormat/>
    <w:uiPriority w:val="0"/>
    <w:pPr>
      <w:widowControl w:val="0"/>
      <w:jc w:val="both"/>
    </w:pPr>
    <w:rPr>
      <w:rFonts w:ascii="Calibri" w:hAnsi="Calibri" w:eastAsia="宋体" w:cs="Arial"/>
      <w:kern w:val="2"/>
      <w:sz w:val="21"/>
      <w:szCs w:val="24"/>
      <w:lang w:val="en-US" w:eastAsia="zh-CN" w:bidi="ar-SA"/>
    </w:rPr>
  </w:style>
  <w:style w:type="paragraph" w:customStyle="1" w:styleId="314">
    <w:name w:val="样式 215 10 磅"/>
    <w:autoRedefine/>
    <w:qFormat/>
    <w:uiPriority w:val="0"/>
    <w:pPr>
      <w:widowControl w:val="0"/>
      <w:jc w:val="both"/>
    </w:pPr>
    <w:rPr>
      <w:rFonts w:ascii="Calibri" w:hAnsi="Calibri" w:eastAsia="宋体" w:cs="Arial"/>
      <w:kern w:val="2"/>
      <w:sz w:val="21"/>
      <w:szCs w:val="24"/>
      <w:lang w:val="en-US" w:eastAsia="zh-CN" w:bidi="ar-SA"/>
    </w:rPr>
  </w:style>
  <w:style w:type="paragraph" w:customStyle="1" w:styleId="315">
    <w:name w:val="样式 211 10 磅"/>
    <w:autoRedefine/>
    <w:qFormat/>
    <w:uiPriority w:val="0"/>
    <w:pPr>
      <w:widowControl w:val="0"/>
      <w:jc w:val="both"/>
    </w:pPr>
    <w:rPr>
      <w:rFonts w:ascii="Calibri" w:hAnsi="Calibri" w:eastAsia="宋体" w:cs="Arial"/>
      <w:kern w:val="2"/>
      <w:sz w:val="21"/>
      <w:szCs w:val="24"/>
      <w:lang w:val="en-US" w:eastAsia="zh-CN" w:bidi="ar-SA"/>
    </w:rPr>
  </w:style>
  <w:style w:type="paragraph" w:customStyle="1" w:styleId="316">
    <w:name w:val="样式 210 10 磅"/>
    <w:autoRedefine/>
    <w:qFormat/>
    <w:uiPriority w:val="0"/>
    <w:pPr>
      <w:widowControl w:val="0"/>
      <w:jc w:val="both"/>
    </w:pPr>
    <w:rPr>
      <w:rFonts w:ascii="Calibri" w:hAnsi="Calibri" w:eastAsia="宋体" w:cs="Arial"/>
      <w:kern w:val="2"/>
      <w:sz w:val="21"/>
      <w:szCs w:val="24"/>
      <w:lang w:val="en-US" w:eastAsia="zh-CN" w:bidi="ar-SA"/>
    </w:rPr>
  </w:style>
  <w:style w:type="paragraph" w:customStyle="1" w:styleId="317">
    <w:name w:val="样式 209 10 磅"/>
    <w:autoRedefine/>
    <w:qFormat/>
    <w:uiPriority w:val="0"/>
    <w:pPr>
      <w:widowControl w:val="0"/>
      <w:jc w:val="both"/>
    </w:pPr>
    <w:rPr>
      <w:rFonts w:ascii="Calibri" w:hAnsi="Calibri" w:eastAsia="宋体" w:cs="Arial"/>
      <w:kern w:val="2"/>
      <w:sz w:val="21"/>
      <w:szCs w:val="24"/>
      <w:lang w:val="en-US" w:eastAsia="zh-CN" w:bidi="ar-SA"/>
    </w:rPr>
  </w:style>
  <w:style w:type="paragraph" w:customStyle="1" w:styleId="318">
    <w:name w:val="样式 208 10 磅"/>
    <w:autoRedefine/>
    <w:qFormat/>
    <w:uiPriority w:val="0"/>
    <w:pPr>
      <w:widowControl w:val="0"/>
      <w:jc w:val="both"/>
    </w:pPr>
    <w:rPr>
      <w:rFonts w:ascii="Calibri" w:hAnsi="Calibri" w:eastAsia="宋体" w:cs="Arial"/>
      <w:kern w:val="2"/>
      <w:sz w:val="21"/>
      <w:szCs w:val="24"/>
      <w:lang w:val="en-US" w:eastAsia="zh-CN" w:bidi="ar-SA"/>
    </w:rPr>
  </w:style>
  <w:style w:type="paragraph" w:customStyle="1" w:styleId="319">
    <w:name w:val="样式 207 10 磅"/>
    <w:autoRedefine/>
    <w:qFormat/>
    <w:uiPriority w:val="0"/>
    <w:pPr>
      <w:widowControl w:val="0"/>
      <w:jc w:val="both"/>
    </w:pPr>
    <w:rPr>
      <w:rFonts w:ascii="Calibri" w:hAnsi="Calibri" w:eastAsia="宋体" w:cs="Arial"/>
      <w:kern w:val="2"/>
      <w:sz w:val="21"/>
      <w:szCs w:val="24"/>
      <w:lang w:val="en-US" w:eastAsia="zh-CN" w:bidi="ar-SA"/>
    </w:rPr>
  </w:style>
  <w:style w:type="paragraph" w:customStyle="1" w:styleId="320">
    <w:name w:val="样式 206 10 磅"/>
    <w:autoRedefine/>
    <w:qFormat/>
    <w:uiPriority w:val="0"/>
    <w:pPr>
      <w:widowControl w:val="0"/>
      <w:jc w:val="both"/>
    </w:pPr>
    <w:rPr>
      <w:rFonts w:ascii="Calibri" w:hAnsi="Calibri" w:eastAsia="宋体" w:cs="Arial"/>
      <w:kern w:val="2"/>
      <w:sz w:val="21"/>
      <w:szCs w:val="24"/>
      <w:lang w:val="en-US" w:eastAsia="zh-CN" w:bidi="ar-SA"/>
    </w:rPr>
  </w:style>
  <w:style w:type="paragraph" w:customStyle="1" w:styleId="321">
    <w:name w:val="样式 54 10 磅"/>
    <w:autoRedefine/>
    <w:qFormat/>
    <w:uiPriority w:val="0"/>
    <w:pPr>
      <w:widowControl w:val="0"/>
      <w:adjustRightInd w:val="0"/>
      <w:spacing w:line="360" w:lineRule="atLeast"/>
      <w:jc w:val="both"/>
      <w:textAlignment w:val="baseline"/>
    </w:pPr>
    <w:rPr>
      <w:rFonts w:ascii="Times New Roman" w:hAnsi="Times New Roman" w:eastAsia="宋体" w:cs="Times New Roman"/>
      <w:szCs w:val="24"/>
      <w:lang w:val="en-US" w:eastAsia="zh-CN" w:bidi="ar-SA"/>
    </w:rPr>
  </w:style>
  <w:style w:type="paragraph" w:customStyle="1" w:styleId="322">
    <w:name w:val="样式 55 10 磅"/>
    <w:autoRedefine/>
    <w:qFormat/>
    <w:uiPriority w:val="0"/>
    <w:rPr>
      <w:rFonts w:ascii="宋体" w:hAnsi="Times New Roman" w:eastAsia="宋体" w:cs="Arial"/>
      <w:lang w:val="en-US" w:eastAsia="zh-CN" w:bidi="ar-SA"/>
    </w:rPr>
  </w:style>
  <w:style w:type="paragraph" w:customStyle="1" w:styleId="323">
    <w:name w:val="样式 42 10 磅"/>
    <w:autoRedefine/>
    <w:qFormat/>
    <w:uiPriority w:val="0"/>
    <w:pPr>
      <w:widowControl w:val="0"/>
      <w:adjustRightInd w:val="0"/>
      <w:spacing w:line="360" w:lineRule="atLeast"/>
      <w:jc w:val="both"/>
      <w:textAlignment w:val="baseline"/>
    </w:pPr>
    <w:rPr>
      <w:rFonts w:ascii="Times New Roman" w:hAnsi="Times New Roman" w:eastAsia="宋体" w:cs="Times New Roman"/>
      <w:szCs w:val="24"/>
      <w:lang w:val="en-US" w:eastAsia="zh-CN" w:bidi="ar-SA"/>
    </w:rPr>
  </w:style>
  <w:style w:type="paragraph" w:customStyle="1" w:styleId="324">
    <w:name w:val="样式 299 10 磅"/>
    <w:autoRedefine/>
    <w:qFormat/>
    <w:uiPriority w:val="0"/>
    <w:rPr>
      <w:rFonts w:ascii="宋体" w:hAnsi="Times New Roman" w:eastAsia="宋体" w:cs="Arial"/>
      <w:lang w:val="en-US" w:eastAsia="zh-CN" w:bidi="ar-SA"/>
    </w:rPr>
  </w:style>
  <w:style w:type="paragraph" w:customStyle="1" w:styleId="325">
    <w:name w:val="样式 56 10 磅"/>
    <w:autoRedefine/>
    <w:qFormat/>
    <w:uiPriority w:val="0"/>
    <w:pPr>
      <w:widowControl w:val="0"/>
      <w:jc w:val="both"/>
    </w:pPr>
    <w:rPr>
      <w:rFonts w:ascii="Calibri" w:hAnsi="Calibri" w:eastAsia="宋体" w:cs="Arial"/>
      <w:kern w:val="2"/>
      <w:sz w:val="21"/>
      <w:szCs w:val="24"/>
      <w:lang w:val="en-US" w:eastAsia="zh-CN" w:bidi="ar-SA"/>
    </w:rPr>
  </w:style>
  <w:style w:type="paragraph" w:customStyle="1" w:styleId="326">
    <w:name w:val="样式 57 10 磅"/>
    <w:autoRedefine/>
    <w:qFormat/>
    <w:uiPriority w:val="0"/>
    <w:pPr>
      <w:widowControl w:val="0"/>
      <w:jc w:val="both"/>
    </w:pPr>
    <w:rPr>
      <w:rFonts w:ascii="Calibri" w:hAnsi="Calibri" w:eastAsia="宋体" w:cs="Arial"/>
      <w:kern w:val="2"/>
      <w:sz w:val="21"/>
      <w:szCs w:val="24"/>
      <w:lang w:val="en-US" w:eastAsia="zh-CN" w:bidi="ar-SA"/>
    </w:rPr>
  </w:style>
  <w:style w:type="paragraph" w:customStyle="1" w:styleId="327">
    <w:name w:val="样式 62 10 磅"/>
    <w:autoRedefine/>
    <w:qFormat/>
    <w:uiPriority w:val="0"/>
    <w:pPr>
      <w:widowControl w:val="0"/>
      <w:adjustRightInd w:val="0"/>
      <w:spacing w:line="360" w:lineRule="atLeast"/>
      <w:jc w:val="both"/>
      <w:textAlignment w:val="baseline"/>
    </w:pPr>
    <w:rPr>
      <w:rFonts w:ascii="Times New Roman" w:hAnsi="Times New Roman" w:eastAsia="宋体" w:cs="Times New Roman"/>
      <w:szCs w:val="24"/>
      <w:lang w:val="en-US" w:eastAsia="zh-CN" w:bidi="ar-SA"/>
    </w:rPr>
  </w:style>
  <w:style w:type="paragraph" w:customStyle="1" w:styleId="328">
    <w:name w:val="样式 63 10 磅"/>
    <w:autoRedefine/>
    <w:qFormat/>
    <w:uiPriority w:val="0"/>
    <w:pPr>
      <w:widowControl w:val="0"/>
      <w:adjustRightInd w:val="0"/>
      <w:spacing w:line="360" w:lineRule="atLeast"/>
      <w:jc w:val="both"/>
      <w:textAlignment w:val="baseline"/>
    </w:pPr>
    <w:rPr>
      <w:rFonts w:ascii="Times New Roman" w:hAnsi="Times New Roman" w:eastAsia="宋体" w:cs="Times New Roman"/>
      <w:szCs w:val="24"/>
      <w:lang w:val="en-US" w:eastAsia="zh-CN" w:bidi="ar-SA"/>
    </w:rPr>
  </w:style>
  <w:style w:type="paragraph" w:customStyle="1" w:styleId="329">
    <w:name w:val="样式 64 10 磅"/>
    <w:autoRedefine/>
    <w:qFormat/>
    <w:uiPriority w:val="0"/>
    <w:pPr>
      <w:widowControl w:val="0"/>
      <w:adjustRightInd w:val="0"/>
      <w:spacing w:line="360" w:lineRule="atLeast"/>
      <w:jc w:val="both"/>
      <w:textAlignment w:val="baseline"/>
    </w:pPr>
    <w:rPr>
      <w:rFonts w:ascii="Times New Roman" w:hAnsi="Times New Roman" w:eastAsia="宋体" w:cs="Times New Roman"/>
      <w:szCs w:val="24"/>
      <w:lang w:val="en-US" w:eastAsia="zh-CN" w:bidi="ar-SA"/>
    </w:rPr>
  </w:style>
  <w:style w:type="paragraph" w:customStyle="1" w:styleId="330">
    <w:name w:val="样式 66 10 磅"/>
    <w:autoRedefine/>
    <w:qFormat/>
    <w:uiPriority w:val="0"/>
    <w:pPr>
      <w:widowControl w:val="0"/>
      <w:adjustRightInd w:val="0"/>
      <w:spacing w:line="360" w:lineRule="atLeast"/>
      <w:jc w:val="both"/>
      <w:textAlignment w:val="baseline"/>
    </w:pPr>
    <w:rPr>
      <w:rFonts w:ascii="Times New Roman" w:hAnsi="Times New Roman" w:eastAsia="宋体" w:cs="Times New Roman"/>
      <w:szCs w:val="24"/>
      <w:lang w:val="en-US" w:eastAsia="zh-CN" w:bidi="ar-SA"/>
    </w:rPr>
  </w:style>
  <w:style w:type="paragraph" w:customStyle="1" w:styleId="331">
    <w:name w:val="样式 1 10 磅"/>
    <w:autoRedefine/>
    <w:qFormat/>
    <w:uiPriority w:val="0"/>
    <w:pPr>
      <w:widowControl w:val="0"/>
      <w:adjustRightInd w:val="0"/>
      <w:spacing w:line="360" w:lineRule="atLeast"/>
      <w:jc w:val="both"/>
      <w:textAlignment w:val="baseline"/>
    </w:pPr>
    <w:rPr>
      <w:rFonts w:ascii="Times New Roman" w:hAnsi="Times New Roman" w:eastAsia="宋体" w:cs="Times New Roman"/>
      <w:szCs w:val="24"/>
      <w:lang w:val="en-US" w:eastAsia="zh-CN" w:bidi="ar-SA"/>
    </w:rPr>
  </w:style>
  <w:style w:type="paragraph" w:customStyle="1" w:styleId="332">
    <w:name w:val="样式 2 10 磅"/>
    <w:qFormat/>
    <w:uiPriority w:val="0"/>
    <w:pPr>
      <w:widowControl w:val="0"/>
      <w:adjustRightInd w:val="0"/>
      <w:spacing w:line="360" w:lineRule="atLeast"/>
      <w:jc w:val="both"/>
      <w:textAlignment w:val="baseline"/>
    </w:pPr>
    <w:rPr>
      <w:rFonts w:ascii="Times New Roman" w:hAnsi="Times New Roman" w:eastAsia="宋体" w:cs="Times New Roman"/>
      <w:szCs w:val="24"/>
      <w:lang w:val="en-US" w:eastAsia="zh-CN" w:bidi="ar-SA"/>
    </w:rPr>
  </w:style>
  <w:style w:type="paragraph" w:customStyle="1" w:styleId="333">
    <w:name w:val="new file normal"/>
    <w:autoRedefine/>
    <w:qFormat/>
    <w:uiPriority w:val="0"/>
    <w:rPr>
      <w:rFonts w:ascii="Times New Roman" w:hAnsi="Times New Roman" w:eastAsia="宋体" w:cs="Times New Roman"/>
      <w:lang w:val="en-US" w:eastAsia="zh-CN" w:bidi="ar-SA"/>
    </w:rPr>
  </w:style>
  <w:style w:type="paragraph" w:customStyle="1" w:styleId="334">
    <w:name w:val="样式 3 10 磅"/>
    <w:qFormat/>
    <w:uiPriority w:val="0"/>
    <w:rPr>
      <w:rFonts w:ascii="Times New Roman" w:hAnsi="Times New Roman" w:eastAsia="宋体" w:cs="Times New Roman"/>
      <w:lang w:val="en-US" w:eastAsia="zh-CN" w:bidi="ar-SA"/>
    </w:rPr>
  </w:style>
  <w:style w:type="paragraph" w:customStyle="1" w:styleId="335">
    <w:name w:val="样式 4 10 磅"/>
    <w:autoRedefine/>
    <w:qFormat/>
    <w:uiPriority w:val="0"/>
    <w:rPr>
      <w:rFonts w:ascii="Times New Roman" w:hAnsi="Times New Roman" w:eastAsia="宋体" w:cs="Times New Roman"/>
      <w:lang w:val="en-US" w:eastAsia="zh-CN" w:bidi="ar-SA"/>
    </w:rPr>
  </w:style>
  <w:style w:type="paragraph" w:customStyle="1" w:styleId="336">
    <w:name w:val="样式 5 10 磅"/>
    <w:autoRedefine/>
    <w:qFormat/>
    <w:uiPriority w:val="0"/>
    <w:rPr>
      <w:rFonts w:ascii="Times New Roman" w:hAnsi="Times New Roman" w:eastAsia="宋体" w:cs="Times New Roman"/>
      <w:lang w:val="en-US" w:eastAsia="zh-CN" w:bidi="ar-SA"/>
    </w:rPr>
  </w:style>
  <w:style w:type="paragraph" w:customStyle="1" w:styleId="337">
    <w:name w:val="样式 6 10 磅"/>
    <w:autoRedefine/>
    <w:qFormat/>
    <w:uiPriority w:val="0"/>
    <w:rPr>
      <w:rFonts w:ascii="Times New Roman" w:hAnsi="Times New Roman" w:eastAsia="宋体" w:cs="Times New Roman"/>
      <w:lang w:val="en-US" w:eastAsia="zh-CN" w:bidi="ar-SA"/>
    </w:rPr>
  </w:style>
  <w:style w:type="paragraph" w:customStyle="1" w:styleId="338">
    <w:name w:val="样式 7 10 磅"/>
    <w:autoRedefine/>
    <w:qFormat/>
    <w:uiPriority w:val="0"/>
    <w:rPr>
      <w:rFonts w:ascii="Times New Roman" w:hAnsi="Times New Roman" w:eastAsia="宋体" w:cs="Times New Roman"/>
      <w:lang w:val="en-US" w:eastAsia="zh-CN" w:bidi="ar-SA"/>
    </w:rPr>
  </w:style>
  <w:style w:type="paragraph" w:customStyle="1" w:styleId="339">
    <w:name w:val="样式 8 10 磅"/>
    <w:autoRedefine/>
    <w:qFormat/>
    <w:uiPriority w:val="0"/>
    <w:rPr>
      <w:rFonts w:ascii="Times New Roman" w:hAnsi="Times New Roman" w:eastAsia="宋体" w:cs="Times New Roman"/>
      <w:lang w:val="en-US" w:eastAsia="zh-CN" w:bidi="ar-SA"/>
    </w:rPr>
  </w:style>
  <w:style w:type="paragraph" w:customStyle="1" w:styleId="340">
    <w:name w:val="样式 1 小四"/>
    <w:basedOn w:val="1"/>
    <w:autoRedefine/>
    <w:qFormat/>
    <w:uiPriority w:val="0"/>
    <w:pPr>
      <w:widowControl/>
      <w:spacing w:line="360" w:lineRule="auto"/>
      <w:jc w:val="left"/>
    </w:pPr>
    <w:rPr>
      <w:rFonts w:ascii="宋体" w:cs="宋体"/>
      <w:kern w:val="0"/>
      <w:szCs w:val="24"/>
    </w:rPr>
  </w:style>
  <w:style w:type="paragraph" w:customStyle="1" w:styleId="341">
    <w:name w:val="修订8"/>
    <w:autoRedefine/>
    <w:qFormat/>
    <w:uiPriority w:val="0"/>
    <w:rPr>
      <w:rFonts w:ascii="等线" w:hAnsi="等线" w:eastAsia="宋体" w:cs="黑体"/>
      <w:kern w:val="2"/>
      <w:sz w:val="24"/>
      <w:szCs w:val="22"/>
      <w:lang w:val="en-US" w:eastAsia="zh-CN" w:bidi="ar-SA"/>
    </w:rPr>
  </w:style>
  <w:style w:type="paragraph" w:customStyle="1" w:styleId="342">
    <w:name w:val="样式 9 10 磅"/>
    <w:autoRedefine/>
    <w:qFormat/>
    <w:uiPriority w:val="0"/>
    <w:pPr>
      <w:widowControl w:val="0"/>
      <w:jc w:val="both"/>
    </w:pPr>
    <w:rPr>
      <w:rFonts w:ascii="Calibri" w:hAnsi="Calibri" w:eastAsia="宋体" w:cs="Times New Roman"/>
      <w:kern w:val="2"/>
      <w:sz w:val="21"/>
      <w:szCs w:val="22"/>
      <w:lang w:val="en-US" w:eastAsia="zh-CN" w:bidi="ar-SA"/>
    </w:rPr>
  </w:style>
  <w:style w:type="paragraph" w:customStyle="1" w:styleId="343">
    <w:name w:val="样式 10 10 磅"/>
    <w:autoRedefine/>
    <w:qFormat/>
    <w:uiPriority w:val="0"/>
    <w:pPr>
      <w:widowControl w:val="0"/>
      <w:jc w:val="both"/>
    </w:pPr>
    <w:rPr>
      <w:rFonts w:ascii="Times New Roman" w:hAnsi="Times New Roman" w:eastAsia="宋体" w:cs="Times New Roman"/>
      <w:kern w:val="2"/>
      <w:sz w:val="21"/>
      <w:lang w:val="en-US" w:eastAsia="zh-CN" w:bidi="ar-SA"/>
    </w:rPr>
  </w:style>
  <w:style w:type="paragraph" w:customStyle="1" w:styleId="344">
    <w:name w:val="修订9"/>
    <w:autoRedefine/>
    <w:qFormat/>
    <w:uiPriority w:val="0"/>
    <w:rPr>
      <w:rFonts w:ascii="等线" w:hAnsi="等线" w:eastAsia="宋体" w:cs="黑体"/>
      <w:kern w:val="2"/>
      <w:sz w:val="24"/>
      <w:szCs w:val="22"/>
      <w:lang w:val="en-US" w:eastAsia="zh-CN" w:bidi="ar-SA"/>
    </w:rPr>
  </w:style>
  <w:style w:type="paragraph" w:customStyle="1" w:styleId="345">
    <w:name w:val="修订10"/>
    <w:autoRedefine/>
    <w:qFormat/>
    <w:uiPriority w:val="0"/>
    <w:rPr>
      <w:rFonts w:ascii="等线" w:hAnsi="等线" w:eastAsia="宋体" w:cs="黑体"/>
      <w:kern w:val="2"/>
      <w:sz w:val="24"/>
      <w:szCs w:val="22"/>
      <w:lang w:val="en-US" w:eastAsia="zh-CN" w:bidi="ar-SA"/>
    </w:rPr>
  </w:style>
  <w:style w:type="paragraph" w:customStyle="1" w:styleId="346">
    <w:name w:val="List Paragraph"/>
    <w:basedOn w:val="1"/>
    <w:autoRedefine/>
    <w:qFormat/>
    <w:uiPriority w:val="0"/>
    <w:pPr>
      <w:ind w:left="720"/>
      <w:contextualSpacing/>
    </w:pPr>
  </w:style>
  <w:style w:type="paragraph" w:customStyle="1" w:styleId="347">
    <w:name w:val="break-words"/>
    <w:basedOn w:val="1"/>
    <w:autoRedefine/>
    <w:qFormat/>
    <w:uiPriority w:val="0"/>
    <w:pPr>
      <w:widowControl/>
      <w:spacing w:before="100" w:beforeAutospacing="1" w:after="100" w:afterAutospacing="1"/>
    </w:pPr>
    <w:rPr>
      <w:rFonts w:ascii="宋体" w:cs="宋体"/>
      <w:kern w:val="0"/>
    </w:rPr>
  </w:style>
  <w:style w:type="paragraph" w:customStyle="1" w:styleId="348">
    <w:name w:val="修订11"/>
    <w:autoRedefine/>
    <w:qFormat/>
    <w:uiPriority w:val="0"/>
    <w:rPr>
      <w:rFonts w:ascii="等线" w:hAnsi="等线" w:eastAsia="宋体" w:cs="黑体"/>
      <w:kern w:val="2"/>
      <w:sz w:val="24"/>
      <w:szCs w:val="22"/>
      <w:lang w:val="en-US" w:eastAsia="zh-CN" w:bidi="ar-SA"/>
    </w:rPr>
  </w:style>
  <w:style w:type="paragraph" w:customStyle="1" w:styleId="349">
    <w:name w:val="修订12"/>
    <w:autoRedefine/>
    <w:qFormat/>
    <w:uiPriority w:val="0"/>
    <w:rPr>
      <w:rFonts w:ascii="等线" w:hAnsi="等线" w:eastAsia="宋体" w:cs="黑体"/>
      <w:kern w:val="2"/>
      <w:sz w:val="24"/>
      <w:szCs w:val="22"/>
      <w:lang w:val="en-US" w:eastAsia="zh-CN" w:bidi="ar-SA"/>
    </w:rPr>
  </w:style>
  <w:style w:type="paragraph" w:customStyle="1" w:styleId="350">
    <w:name w:val="纯文本_0"/>
    <w:basedOn w:val="68"/>
    <w:autoRedefine/>
    <w:qFormat/>
    <w:uiPriority w:val="0"/>
    <w:rPr>
      <w:rFonts w:ascii="宋体"/>
      <w:kern w:val="0"/>
      <w:sz w:val="20"/>
      <w:szCs w:val="21"/>
    </w:rPr>
  </w:style>
  <w:style w:type="paragraph" w:customStyle="1" w:styleId="351">
    <w:name w:val="修订13"/>
    <w:qFormat/>
    <w:uiPriority w:val="0"/>
    <w:rPr>
      <w:rFonts w:ascii="等线" w:hAnsi="等线" w:eastAsia="宋体" w:cs="黑体"/>
      <w:kern w:val="2"/>
      <w:sz w:val="24"/>
      <w:szCs w:val="22"/>
      <w:lang w:val="en-US" w:eastAsia="zh-CN" w:bidi="ar-SA"/>
    </w:rPr>
  </w:style>
  <w:style w:type="paragraph" w:customStyle="1" w:styleId="352">
    <w:name w:val="修订14"/>
    <w:qFormat/>
    <w:uiPriority w:val="0"/>
    <w:rPr>
      <w:rFonts w:ascii="等线" w:hAnsi="等线" w:eastAsia="宋体" w:cs="黑体"/>
      <w:kern w:val="2"/>
      <w:sz w:val="24"/>
      <w:szCs w:val="22"/>
      <w:lang w:val="en-US" w:eastAsia="zh-CN" w:bidi="ar-SA"/>
    </w:rPr>
  </w:style>
  <w:style w:type="character" w:customStyle="1" w:styleId="353">
    <w:name w:val="text-tag"/>
    <w:basedOn w:val="32"/>
    <w:qFormat/>
    <w:uiPriority w:val="0"/>
  </w:style>
  <w:style w:type="paragraph" w:customStyle="1" w:styleId="354">
    <w:name w:val="Revision"/>
    <w:qFormat/>
    <w:uiPriority w:val="0"/>
    <w:rPr>
      <w:rFonts w:ascii="等线" w:hAnsi="等线" w:eastAsia="宋体" w:cs="黑体"/>
      <w:kern w:val="2"/>
      <w:sz w:val="24"/>
      <w:szCs w:val="22"/>
      <w:lang w:val="en-US" w:eastAsia="zh-CN" w:bidi="ar-SA"/>
    </w:rPr>
  </w:style>
</w:styles>
</file>

<file path=word/_rels/document.xml.rels><?xml version="1.0" encoding="UTF-8" standalone="yes"?>
<Relationships xmlns="http://schemas.openxmlformats.org/package/2006/relationships"><Relationship Id="rId9" Type="http://schemas.openxmlformats.org/officeDocument/2006/relationships/theme" Target="theme/theme1.xml"/><Relationship Id="rId8" Type="http://schemas.openxmlformats.org/officeDocument/2006/relationships/footer" Target="footer3.xml"/><Relationship Id="rId7" Type="http://schemas.openxmlformats.org/officeDocument/2006/relationships/footer" Target="footer2.xml"/><Relationship Id="rId6" Type="http://schemas.openxmlformats.org/officeDocument/2006/relationships/footer" Target="footer1.xml"/><Relationship Id="rId5" Type="http://schemas.openxmlformats.org/officeDocument/2006/relationships/header" Target="header3.xml"/><Relationship Id="rId4" Type="http://schemas.openxmlformats.org/officeDocument/2006/relationships/header" Target="header2.xml"/><Relationship Id="rId3" Type="http://schemas.openxmlformats.org/officeDocument/2006/relationships/header" Target="header1.xml"/><Relationship Id="rId2" Type="http://schemas.openxmlformats.org/officeDocument/2006/relationships/settings" Target="settings.xml"/><Relationship Id="rId12" Type="http://schemas.openxmlformats.org/officeDocument/2006/relationships/fontTable" Target="fontTable.xml"/><Relationship Id="rId11" Type="http://schemas.openxmlformats.org/officeDocument/2006/relationships/numbering" Target="numbering.xml"/><Relationship Id="rId10" Type="http://schemas.openxmlformats.org/officeDocument/2006/relationships/image" Target="media/image1.png"/><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Normal.eit</Template>
  <Company>GZCUSTOMS</Company>
  <Pages>74</Pages>
  <Words>30070</Words>
  <Characters>31439</Characters>
  <Lines>2369</Lines>
  <Paragraphs>1146</Paragraphs>
  <TotalTime>7</TotalTime>
  <ScaleCrop>false</ScaleCrop>
  <LinksUpToDate>false</LinksUpToDate>
  <CharactersWithSpaces>31860</CharactersWithSpaces>
  <Application>WPS Office_12.1.0.16388_F1E327BC-269C-435d-A152-05C5408002CA</Applicat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2025-07-02T09:34:00Z</dcterms:created>
  <dc:creator>Windows 用户</dc:creator>
  <cp:lastModifiedBy>Administrator</cp:lastModifiedBy>
  <cp:lastPrinted>2024-11-22T08:00:00Z</cp:lastPrinted>
  <dcterms:modified xsi:type="dcterms:W3CDTF">2026-03-26T05:47:45Z</dcterms:modified>
  <dc:title>  </dc:title>
  <cp:revision>113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2052-12.1.0.16388</vt:lpwstr>
  </property>
  <property fmtid="{D5CDD505-2E9C-101B-9397-08002B2CF9AE}" pid="3" name="ICV">
    <vt:lpwstr>CAFACD638D644B49AC65439F9B7D1F43_13</vt:lpwstr>
  </property>
  <property fmtid="{D5CDD505-2E9C-101B-9397-08002B2CF9AE}" pid="4" name="KSOTemplateDocerSaveRecord">
    <vt:lpwstr>eyJoZGlkIjoiMTZmYzBhNDYzMzlhZDdiOWIwODE2MGFlZWExMzgxMjUiLCJ1c2VySWQiOiIzODUyNzQwMTcifQ==</vt:lpwstr>
  </property>
</Properties>
</file>