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ascii="宋体" w:cs="Arial"/>
          <w:szCs w:val="24"/>
        </w:rPr>
        <w:t>网址：</w:t>
      </w:r>
      <w:r>
        <w:fldChar w:fldCharType="begin"/>
      </w:r>
      <w:r>
        <w:instrText xml:space="preserve"> HYPERLINK "https://gzzfcg.gcycloud.cn/site/gzsaas/index.html" </w:instrText>
      </w:r>
      <w:r>
        <w:fldChar w:fldCharType="separate"/>
      </w:r>
      <w:r>
        <w:rPr>
          <w:rStyle w:val="36"/>
          <w:rFonts w:hint="eastAsia"/>
          <w:color w:val="auto"/>
        </w:rPr>
        <w:t>https://gzzfcg.gcycloud.cn/site/gzsaas/index.html</w:t>
      </w:r>
      <w:r>
        <w:rPr>
          <w:rStyle w:val="36"/>
          <w:rFonts w:hint="eastAsia"/>
          <w:color w:val="auto"/>
        </w:rPr>
        <w:fldChar w:fldCharType="end"/>
      </w:r>
    </w:p>
    <w:p/>
    <w:p/>
    <w:p>
      <w:pPr>
        <w:jc w:val="center"/>
        <w:rPr>
          <w:rFonts w:ascii="宋体" w:cs="Arial"/>
          <w:b/>
          <w:spacing w:val="40"/>
          <w:sz w:val="72"/>
          <w:szCs w:val="72"/>
        </w:rPr>
      </w:pPr>
      <w:bookmarkStart w:id="0" w:name="_Toc37569493"/>
      <w:bookmarkStart w:id="1" w:name="_Toc37331055"/>
      <w:bookmarkStart w:id="2" w:name="_Toc37331012"/>
      <w:bookmarkStart w:id="3" w:name="_Toc37663365"/>
      <w:bookmarkStart w:id="4" w:name="_Toc37245250"/>
      <w:bookmarkStart w:id="5" w:name="_Toc38947771"/>
      <w:bookmarkStart w:id="6" w:name="_Toc37581393"/>
    </w:p>
    <w:p>
      <w:pPr>
        <w:jc w:val="center"/>
        <w:rPr>
          <w:rFonts w:ascii="宋体" w:cs="Arial"/>
          <w:b/>
          <w:spacing w:val="40"/>
          <w:sz w:val="72"/>
          <w:szCs w:val="72"/>
        </w:rPr>
      </w:pPr>
      <w:r>
        <w:rPr>
          <w:rFonts w:ascii="宋体" w:cs="Arial"/>
          <w:b/>
          <w:spacing w:val="40"/>
          <w:sz w:val="72"/>
          <w:szCs w:val="72"/>
        </w:rPr>
        <w:t>招标文件</w:t>
      </w:r>
    </w:p>
    <w:p>
      <w:pPr>
        <w:rPr>
          <w:rFonts w:ascii="宋体"/>
        </w:rPr>
      </w:pPr>
    </w:p>
    <w:p>
      <w:pPr>
        <w:jc w:val="center"/>
        <w:rPr>
          <w:rFonts w:ascii="宋体" w:cs="Arial"/>
          <w:b/>
          <w:sz w:val="32"/>
          <w:szCs w:val="32"/>
        </w:rPr>
      </w:pPr>
      <w:r>
        <w:rPr>
          <w:rFonts w:hint="eastAsia" w:ascii="宋体" w:cs="Arial"/>
          <w:b/>
          <w:szCs w:val="24"/>
        </w:rPr>
        <w:drawing>
          <wp:inline distT="0" distB="0" distL="114300" distR="114300">
            <wp:extent cx="3025775" cy="3033395"/>
            <wp:effectExtent l="0" t="0" r="0" b="0"/>
            <wp:docPr id="1" name="图片 4" descr="logo彩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logo彩色"/>
                    <pic:cNvPicPr>
                      <a:picLocks noChangeAspect="1"/>
                    </pic:cNvPicPr>
                  </pic:nvPicPr>
                  <pic:blipFill>
                    <a:blip r:embed="rId8"/>
                    <a:stretch>
                      <a:fillRect/>
                    </a:stretch>
                  </pic:blipFill>
                  <pic:spPr>
                    <a:xfrm>
                      <a:off x="0" y="0"/>
                      <a:ext cx="3025775" cy="3033395"/>
                    </a:xfrm>
                    <a:prstGeom prst="rect">
                      <a:avLst/>
                    </a:prstGeom>
                    <a:noFill/>
                    <a:ln w="9525" cap="flat" cmpd="sng">
                      <a:noFill/>
                      <a:prstDash val="solid"/>
                      <a:round/>
                    </a:ln>
                  </pic:spPr>
                </pic:pic>
              </a:graphicData>
            </a:graphic>
          </wp:inline>
        </w:drawing>
      </w:r>
    </w:p>
    <w:p>
      <w:pPr>
        <w:spacing w:line="360" w:lineRule="auto"/>
        <w:ind w:firstLine="527" w:firstLineChars="164"/>
        <w:rPr>
          <w:rFonts w:ascii="宋体" w:cs="Arial"/>
          <w:b/>
          <w:sz w:val="32"/>
          <w:szCs w:val="32"/>
        </w:rPr>
      </w:pPr>
    </w:p>
    <w:p>
      <w:pPr>
        <w:spacing w:line="360" w:lineRule="auto"/>
        <w:jc w:val="left"/>
        <w:rPr>
          <w:rFonts w:ascii="宋体" w:cs="Arial"/>
          <w:b/>
          <w:sz w:val="32"/>
          <w:szCs w:val="32"/>
        </w:rPr>
      </w:pPr>
      <w:r>
        <w:rPr>
          <w:rFonts w:hint="eastAsia" w:ascii="宋体" w:cs="Arial"/>
          <w:b/>
          <w:sz w:val="32"/>
          <w:szCs w:val="32"/>
        </w:rPr>
        <w:t>项目编号： QCZ2026-0026</w:t>
      </w:r>
    </w:p>
    <w:p>
      <w:pPr>
        <w:spacing w:line="360" w:lineRule="auto"/>
        <w:ind w:left="1606" w:hanging="1606" w:hangingChars="500"/>
        <w:jc w:val="left"/>
        <w:rPr>
          <w:rFonts w:ascii="宋体" w:cs="Arial"/>
          <w:b/>
          <w:sz w:val="32"/>
          <w:szCs w:val="32"/>
        </w:rPr>
      </w:pPr>
      <w:r>
        <w:rPr>
          <w:rFonts w:hint="eastAsia" w:ascii="宋体" w:cs="Arial"/>
          <w:b/>
          <w:sz w:val="32"/>
          <w:szCs w:val="32"/>
        </w:rPr>
        <w:t>项目名称：广州海关技术中心2026年实验室仪器设备维保服务项目（三次）</w:t>
      </w:r>
    </w:p>
    <w:bookmarkEnd w:id="0"/>
    <w:bookmarkEnd w:id="1"/>
    <w:bookmarkEnd w:id="2"/>
    <w:bookmarkEnd w:id="3"/>
    <w:bookmarkEnd w:id="4"/>
    <w:bookmarkEnd w:id="5"/>
    <w:bookmarkEnd w:id="6"/>
    <w:p>
      <w:pPr>
        <w:spacing w:line="360" w:lineRule="auto"/>
        <w:ind w:firstLine="524" w:firstLineChars="164"/>
        <w:rPr>
          <w:rFonts w:ascii="宋体" w:cs="Arial"/>
          <w:sz w:val="32"/>
        </w:rPr>
      </w:pPr>
    </w:p>
    <w:p>
      <w:pPr>
        <w:spacing w:line="300" w:lineRule="auto"/>
        <w:jc w:val="right"/>
        <w:rPr>
          <w:rFonts w:ascii="宋体" w:cs="仿宋_GB2312"/>
          <w:b/>
          <w:spacing w:val="40"/>
          <w:sz w:val="32"/>
          <w:szCs w:val="32"/>
        </w:rPr>
      </w:pPr>
    </w:p>
    <w:p>
      <w:pPr>
        <w:spacing w:line="300" w:lineRule="auto"/>
        <w:jc w:val="center"/>
        <w:rPr>
          <w:rFonts w:ascii="宋体" w:cs="仿宋_GB2312"/>
          <w:b/>
          <w:sz w:val="32"/>
          <w:szCs w:val="32"/>
        </w:rPr>
      </w:pPr>
      <w:r>
        <w:rPr>
          <w:rFonts w:ascii="宋体" w:cs="仿宋_GB2312"/>
          <w:b/>
          <w:spacing w:val="40"/>
          <w:sz w:val="32"/>
          <w:szCs w:val="32"/>
        </w:rPr>
        <w:t>广州市政府采购中心</w:t>
      </w:r>
    </w:p>
    <w:p>
      <w:pPr>
        <w:jc w:val="center"/>
        <w:rPr>
          <w:rFonts w:ascii="宋体"/>
          <w:sz w:val="32"/>
          <w:szCs w:val="32"/>
        </w:rPr>
      </w:pPr>
      <w:r>
        <w:rPr>
          <w:rFonts w:ascii="宋体"/>
          <w:sz w:val="32"/>
          <w:szCs w:val="32"/>
        </w:rPr>
        <w:t>202</w:t>
      </w:r>
      <w:r>
        <w:rPr>
          <w:rFonts w:hint="eastAsia" w:ascii="宋体"/>
          <w:sz w:val="32"/>
          <w:szCs w:val="32"/>
        </w:rPr>
        <w:t>6</w:t>
      </w:r>
      <w:r>
        <w:rPr>
          <w:rFonts w:ascii="宋体"/>
          <w:sz w:val="32"/>
          <w:szCs w:val="32"/>
        </w:rPr>
        <w:t>年</w:t>
      </w:r>
      <w:r>
        <w:rPr>
          <w:rFonts w:hint="eastAsia" w:ascii="宋体"/>
          <w:sz w:val="32"/>
          <w:szCs w:val="32"/>
        </w:rPr>
        <w:t>8月28日</w:t>
      </w:r>
    </w:p>
    <w:p>
      <w:pPr>
        <w:rPr>
          <w:rFonts w:ascii="宋体"/>
          <w:sz w:val="20"/>
        </w:rPr>
      </w:pPr>
      <w:bookmarkStart w:id="7" w:name="EBd97a963d55784ea39a922f2c677e005e"/>
      <w:bookmarkEnd w:id="7"/>
    </w:p>
    <w:p>
      <w:pPr>
        <w:pStyle w:val="9"/>
      </w:pPr>
    </w:p>
    <w:p>
      <w:pPr>
        <w:spacing w:line="360" w:lineRule="auto"/>
        <w:jc w:val="center"/>
        <w:rPr>
          <w:rFonts w:ascii="宋体" w:cs="Arial"/>
          <w:b/>
          <w:color w:val="000000" w:themeColor="text1"/>
          <w:sz w:val="32"/>
          <w14:textFill>
            <w14:solidFill>
              <w14:schemeClr w14:val="tx1"/>
            </w14:solidFill>
          </w14:textFill>
        </w:rPr>
      </w:pPr>
      <w:r>
        <w:rPr>
          <w:rFonts w:hint="eastAsia" w:ascii="宋体"/>
          <w:b/>
          <w:color w:val="000000" w:themeColor="text1"/>
          <w:sz w:val="36"/>
          <w:szCs w:val="36"/>
          <w14:textFill>
            <w14:solidFill>
              <w14:schemeClr w14:val="tx1"/>
            </w14:solidFill>
          </w14:textFill>
        </w:rPr>
        <w:t>温馨提示：</w:t>
      </w:r>
      <w:r>
        <w:rPr>
          <w:rFonts w:ascii="宋体"/>
          <w:b/>
          <w:color w:val="000000" w:themeColor="text1"/>
          <w:sz w:val="36"/>
          <w:szCs w:val="36"/>
          <w14:textFill>
            <w14:solidFill>
              <w14:schemeClr w14:val="tx1"/>
            </w14:solidFill>
          </w14:textFill>
        </w:rPr>
        <w:t>供应商投标特别注意事项</w:t>
      </w:r>
    </w:p>
    <w:p>
      <w:pPr>
        <w:tabs>
          <w:tab w:val="left" w:pos="0"/>
          <w:tab w:val="left" w:pos="360"/>
          <w:tab w:val="left" w:pos="1565"/>
        </w:tabs>
        <w:spacing w:line="520" w:lineRule="exact"/>
        <w:rPr>
          <w:rFonts w:ascii="宋体"/>
          <w:color w:val="000000" w:themeColor="text1"/>
          <w:szCs w:val="24"/>
          <w14:textFill>
            <w14:solidFill>
              <w14:schemeClr w14:val="tx1"/>
            </w14:solidFill>
          </w14:textFill>
        </w:rPr>
      </w:pPr>
      <w:r>
        <w:rPr>
          <w:rStyle w:val="59"/>
          <w:rFonts w:ascii="宋体"/>
          <w:color w:val="000000" w:themeColor="text1"/>
          <w:szCs w:val="24"/>
          <w14:textFill>
            <w14:solidFill>
              <w14:schemeClr w14:val="tx1"/>
            </w14:solidFill>
          </w14:textFill>
        </w:rPr>
        <w:tab/>
      </w:r>
    </w:p>
    <w:p>
      <w:pPr>
        <w:spacing w:line="360" w:lineRule="auto"/>
        <w:ind w:firstLine="480" w:firstLineChars="200"/>
        <w:rPr>
          <w:rFonts w:ascii="宋体" w:cs="宋体"/>
          <w:color w:val="000000" w:themeColor="text1"/>
          <w:kern w:val="0"/>
          <w:position w:val="-1"/>
          <w:szCs w:val="24"/>
          <w:lang w:val="zh-CN"/>
          <w14:textFill>
            <w14:solidFill>
              <w14:schemeClr w14:val="tx1"/>
            </w14:solidFill>
          </w14:textFill>
        </w:rPr>
      </w:pPr>
      <w:r>
        <w:rPr>
          <w:rFonts w:ascii="宋体" w:cs="宋体"/>
          <w:color w:val="000000" w:themeColor="text1"/>
          <w:kern w:val="0"/>
          <w:position w:val="-1"/>
          <w:szCs w:val="24"/>
          <w:lang w:val="zh-CN"/>
          <w14:textFill>
            <w14:solidFill>
              <w14:schemeClr w14:val="tx1"/>
            </w14:solidFill>
          </w14:textFill>
        </w:rPr>
        <w:t>一、参加投标之前，供应商应确认企业信用档案是否办理，以免出现企业信用档案不能被使用等问题。上述情况有可能导致投标登记信息无法导入广州市政府采购中心（以下简称市政府采购中心）政府采购交易系统。</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二、一律不接受纸质投标文件，只接受具备法律效力的电子投标文件。供应商参加投标前，应当到依法设立的电子认证服务机构</w:t>
      </w:r>
      <w:r>
        <w:rPr>
          <w:rFonts w:hint="eastAsia" w:ascii="宋体" w:cs="宋体"/>
          <w:color w:val="000000" w:themeColor="text1"/>
          <w:kern w:val="0"/>
          <w:position w:val="-1"/>
          <w:szCs w:val="24"/>
          <w:lang w:val="zh-CN"/>
          <w14:textFill>
            <w14:solidFill>
              <w14:schemeClr w14:val="tx1"/>
            </w14:solidFill>
          </w14:textFill>
        </w:rPr>
        <w:t>根据办理指引办理</w:t>
      </w:r>
      <w:r>
        <w:rPr>
          <w:rFonts w:hint="eastAsia" w:ascii="宋体" w:cs="宋体"/>
          <w:color w:val="000000" w:themeColor="text1"/>
          <w:kern w:val="0"/>
          <w:position w:val="-1"/>
          <w:szCs w:val="24"/>
          <w14:textFill>
            <w14:solidFill>
              <w14:schemeClr w14:val="tx1"/>
            </w14:solidFill>
          </w14:textFill>
        </w:rPr>
        <w:t>云平台</w:t>
      </w:r>
      <w:r>
        <w:rPr>
          <w:rFonts w:ascii="宋体" w:cs="宋体"/>
          <w:color w:val="000000" w:themeColor="text1"/>
          <w:kern w:val="0"/>
          <w:position w:val="-1"/>
          <w:szCs w:val="24"/>
          <w:lang w:val="zh-CN"/>
          <w14:textFill>
            <w14:solidFill>
              <w14:schemeClr w14:val="tx1"/>
            </w14:solidFill>
          </w14:textFill>
        </w:rPr>
        <w:t>CA数字证书和电子签章。数字证书(CA)办理热线（第三方服务商）：GDCA:95105813，NETCA:020-89524338，CFCA:400-856-3882。</w:t>
      </w:r>
    </w:p>
    <w:p>
      <w:pPr>
        <w:spacing w:line="360" w:lineRule="auto"/>
        <w:rPr>
          <w:rFonts w:ascii="宋体" w:cs="宋体"/>
          <w:color w:val="000000" w:themeColor="text1"/>
          <w:kern w:val="0"/>
          <w:position w:val="-1"/>
          <w:szCs w:val="24"/>
          <w:lang w:val="zh-CN"/>
          <w14:textFill>
            <w14:solidFill>
              <w14:schemeClr w14:val="tx1"/>
            </w14:solidFill>
          </w14:textFill>
        </w:rPr>
      </w:pPr>
      <w:r>
        <w:rPr>
          <w:rFonts w:ascii="宋体" w:cs="宋体"/>
          <w:color w:val="000000" w:themeColor="text1"/>
          <w:kern w:val="0"/>
          <w:position w:val="-1"/>
          <w:szCs w:val="24"/>
          <w:lang w:val="zh-CN"/>
          <w14:textFill>
            <w14:solidFill>
              <w14:schemeClr w14:val="tx1"/>
            </w14:solidFill>
          </w14:textFill>
        </w:rPr>
        <w:t>CA办理指引：</w:t>
      </w:r>
      <w:r>
        <w:fldChar w:fldCharType="begin"/>
      </w:r>
      <w:r>
        <w:instrText xml:space="preserve"> HYPERLINK "https://gdgpo.czt.gd.gov.cn/help/problem/ca.html。" </w:instrText>
      </w:r>
      <w:r>
        <w:fldChar w:fldCharType="separate"/>
      </w:r>
      <w:r>
        <w:rPr>
          <w:rFonts w:ascii="宋体" w:cs="宋体"/>
          <w:color w:val="000000" w:themeColor="text1"/>
          <w:kern w:val="0"/>
          <w:position w:val="-1"/>
          <w:szCs w:val="24"/>
          <w:lang w:val="zh-CN"/>
          <w14:textFill>
            <w14:solidFill>
              <w14:schemeClr w14:val="tx1"/>
            </w14:solidFill>
          </w14:textFill>
        </w:rPr>
        <w:t>https://gdgpo.czt.gd.gov.cn/help/problem/ca.html</w:t>
      </w:r>
      <w:r>
        <w:rPr>
          <w:rFonts w:hint="eastAsia" w:ascii="宋体" w:cs="宋体"/>
          <w:color w:val="000000" w:themeColor="text1"/>
          <w:kern w:val="0"/>
          <w:position w:val="-1"/>
          <w:szCs w:val="24"/>
          <w:lang w:val="zh-CN"/>
          <w14:textFill>
            <w14:solidFill>
              <w14:schemeClr w14:val="tx1"/>
            </w14:solidFill>
          </w14:textFill>
        </w:rPr>
        <w:t>。</w:t>
      </w:r>
      <w:r>
        <w:rPr>
          <w:rFonts w:hint="eastAsia" w:ascii="宋体" w:cs="宋体"/>
          <w:color w:val="000000" w:themeColor="text1"/>
          <w:kern w:val="0"/>
          <w:position w:val="-1"/>
          <w:szCs w:val="24"/>
          <w:lang w:val="zh-CN"/>
          <w14:textFill>
            <w14:solidFill>
              <w14:schemeClr w14:val="tx1"/>
            </w14:solidFill>
          </w14:textFill>
        </w:rPr>
        <w:fldChar w:fldCharType="end"/>
      </w:r>
    </w:p>
    <w:p>
      <w:pPr>
        <w:spacing w:line="360" w:lineRule="auto"/>
        <w:rPr>
          <w:rFonts w:ascii="宋体" w:cs="宋体"/>
          <w:color w:val="000000" w:themeColor="text1"/>
          <w:kern w:val="0"/>
          <w:position w:val="-1"/>
          <w:szCs w:val="24"/>
          <w14:textFill>
            <w14:solidFill>
              <w14:schemeClr w14:val="tx1"/>
            </w14:solidFill>
          </w14:textFill>
        </w:rPr>
      </w:pPr>
      <w:r>
        <w:rPr>
          <w:rFonts w:hint="eastAsia" w:ascii="宋体" w:cs="宋体"/>
          <w:color w:val="000000" w:themeColor="text1"/>
          <w:kern w:val="0"/>
          <w:position w:val="-1"/>
          <w:szCs w:val="24"/>
          <w14:textFill>
            <w14:solidFill>
              <w14:schemeClr w14:val="tx1"/>
            </w14:solidFill>
          </w14:textFill>
        </w:rPr>
        <w:t>系统操作指南链接：</w:t>
      </w:r>
    </w:p>
    <w:p>
      <w:pPr>
        <w:spacing w:line="360" w:lineRule="auto"/>
        <w:rPr>
          <w:rFonts w:ascii="宋体" w:cs="宋体"/>
          <w:color w:val="000000" w:themeColor="text1"/>
          <w:kern w:val="0"/>
          <w:position w:val="-1"/>
          <w:szCs w:val="24"/>
          <w14:textFill>
            <w14:solidFill>
              <w14:schemeClr w14:val="tx1"/>
            </w14:solidFill>
          </w14:textFill>
        </w:rPr>
      </w:pPr>
      <w:r>
        <w:fldChar w:fldCharType="begin"/>
      </w:r>
      <w:r>
        <w:instrText xml:space="preserve"> HYPERLINK "https://gzzfcg.gcycloud.cn/freecms/site/gzsaas/xzzx/index.html" </w:instrText>
      </w:r>
      <w:r>
        <w:fldChar w:fldCharType="separate"/>
      </w:r>
      <w:r>
        <w:rPr>
          <w:rFonts w:hint="eastAsia" w:ascii="宋体" w:cs="宋体"/>
          <w:color w:val="000000" w:themeColor="text1"/>
          <w:kern w:val="0"/>
          <w:position w:val="-1"/>
          <w:szCs w:val="24"/>
          <w14:textFill>
            <w14:solidFill>
              <w14:schemeClr w14:val="tx1"/>
            </w14:solidFill>
          </w14:textFill>
        </w:rPr>
        <w:t>https://gzzfcg.gcycloud.cn/freecms/site/gzsaas/xzzx/index.html</w:t>
      </w:r>
      <w:r>
        <w:rPr>
          <w:rFonts w:hint="eastAsia" w:ascii="宋体" w:cs="宋体"/>
          <w:color w:val="000000" w:themeColor="text1"/>
          <w:kern w:val="0"/>
          <w:position w:val="-1"/>
          <w:szCs w:val="24"/>
          <w14:textFill>
            <w14:solidFill>
              <w14:schemeClr w14:val="tx1"/>
            </w14:solidFill>
          </w14:textFill>
        </w:rPr>
        <w:fldChar w:fldCharType="end"/>
      </w:r>
    </w:p>
    <w:p>
      <w:pPr>
        <w:spacing w:line="360" w:lineRule="auto"/>
        <w:ind w:firstLine="480" w:firstLineChars="200"/>
        <w:rPr>
          <w:rFonts w:ascii="宋体" w:cs="宋体"/>
          <w:color w:val="000000" w:themeColor="text1"/>
          <w:kern w:val="0"/>
          <w:position w:val="-1"/>
          <w:szCs w:val="24"/>
          <w:lang w:val="zh-CN"/>
          <w14:textFill>
            <w14:solidFill>
              <w14:schemeClr w14:val="tx1"/>
            </w14:solidFill>
          </w14:textFill>
        </w:rPr>
      </w:pPr>
      <w:r>
        <w:rPr>
          <w:rFonts w:hint="eastAsia" w:ascii="宋体" w:cs="宋体"/>
          <w:color w:val="000000" w:themeColor="text1"/>
          <w:kern w:val="0"/>
          <w:position w:val="-1"/>
          <w:szCs w:val="24"/>
          <w:lang w:val="zh-CN"/>
          <w14:textFill>
            <w14:solidFill>
              <w14:schemeClr w14:val="tx1"/>
            </w14:solidFill>
          </w14:textFill>
        </w:rPr>
        <w:t>三、</w:t>
      </w:r>
      <w:r>
        <w:rPr>
          <w:rFonts w:ascii="宋体" w:cs="宋体"/>
          <w:color w:val="000000" w:themeColor="text1"/>
          <w:kern w:val="0"/>
          <w:position w:val="-1"/>
          <w:szCs w:val="24"/>
          <w:lang w:val="zh-CN"/>
          <w14:textFill>
            <w14:solidFill>
              <w14:schemeClr w14:val="tx1"/>
            </w14:solidFill>
          </w14:textFill>
        </w:rPr>
        <w:t>如更正公告有重新发布电子招标文件的，供应商需使用更正公告后最新发布的电子招标文件来制作电子投标文件，否则投标时将无法正常提交电子投标文件。</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四、供应商需在提交投标文件截止时间前完整上传电子投标文件并保存在</w:t>
      </w:r>
      <w:r>
        <w:rPr>
          <w:rFonts w:hint="eastAsia" w:ascii="宋体" w:cs="宋体"/>
          <w:color w:val="000000" w:themeColor="text1"/>
          <w:kern w:val="0"/>
          <w:position w:val="-1"/>
          <w:szCs w:val="24"/>
          <w:lang w:val="zh-CN"/>
          <w14:textFill>
            <w14:solidFill>
              <w14:schemeClr w14:val="tx1"/>
            </w14:solidFill>
          </w14:textFill>
        </w:rPr>
        <w:t>广州市政府采购中心采购综合管理服务平台</w:t>
      </w:r>
      <w:r>
        <w:rPr>
          <w:rFonts w:hint="eastAsia" w:ascii="宋体" w:cs="宋体"/>
          <w:color w:val="000000" w:themeColor="text1"/>
          <w:kern w:val="0"/>
          <w:position w:val="-1"/>
          <w:szCs w:val="24"/>
          <w14:textFill>
            <w14:solidFill>
              <w14:schemeClr w14:val="tx1"/>
            </w14:solidFill>
          </w14:textFill>
        </w:rPr>
        <w:t>采购系统</w:t>
      </w:r>
      <w:r>
        <w:rPr>
          <w:rFonts w:ascii="宋体" w:cs="宋体"/>
          <w:color w:val="000000" w:themeColor="text1"/>
          <w:kern w:val="0"/>
          <w:position w:val="-1"/>
          <w:szCs w:val="24"/>
          <w:lang w:val="zh-CN"/>
          <w14:textFill>
            <w14:solidFill>
              <w14:schemeClr w14:val="tx1"/>
            </w14:solidFill>
          </w14:textFill>
        </w:rPr>
        <w:t>，且取得回执。逾期送达或错误投递方式送达的投标文件</w:t>
      </w:r>
      <w:r>
        <w:rPr>
          <w:rFonts w:hint="eastAsia" w:ascii="宋体" w:cs="宋体"/>
          <w:color w:val="000000" w:themeColor="text1"/>
          <w:kern w:val="0"/>
          <w:position w:val="-1"/>
          <w:szCs w:val="24"/>
          <w14:textFill>
            <w14:solidFill>
              <w14:schemeClr w14:val="tx1"/>
            </w14:solidFill>
          </w14:textFill>
        </w:rPr>
        <w:t>广州</w:t>
      </w:r>
      <w:r>
        <w:rPr>
          <w:rFonts w:ascii="宋体" w:cs="宋体"/>
          <w:color w:val="000000" w:themeColor="text1"/>
          <w:kern w:val="0"/>
          <w:position w:val="-1"/>
          <w:szCs w:val="24"/>
          <w:lang w:val="zh-CN"/>
          <w14:textFill>
            <w14:solidFill>
              <w14:schemeClr w14:val="tx1"/>
            </w14:solidFill>
          </w14:textFill>
        </w:rPr>
        <w:t>市政府采购中心恕不接收。</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五、</w:t>
      </w:r>
      <w:r>
        <w:rPr>
          <w:rFonts w:hint="eastAsia" w:ascii="宋体" w:cs="宋体"/>
          <w:color w:val="000000" w:themeColor="text1"/>
          <w:kern w:val="0"/>
          <w:position w:val="-1"/>
          <w:szCs w:val="24"/>
          <w:lang w:val="zh-CN"/>
          <w14:textFill>
            <w14:solidFill>
              <w14:schemeClr w14:val="tx1"/>
            </w14:solidFill>
          </w14:textFill>
        </w:rPr>
        <w:t>招标文件中，凡标有“★”的地方均为实质性响应条款，必须一一响应。若有一项带★的指标要求未响应或不满足，将按投标无效处理。</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六、</w:t>
      </w:r>
      <w:r>
        <w:rPr>
          <w:rFonts w:hint="eastAsia" w:ascii="宋体" w:cs="宋体"/>
          <w:color w:val="000000" w:themeColor="text1"/>
          <w:kern w:val="0"/>
          <w:position w:val="-1"/>
          <w:szCs w:val="24"/>
          <w:lang w:val="zh-CN"/>
          <w14:textFill>
            <w14:solidFill>
              <w14:schemeClr w14:val="tx1"/>
            </w14:solidFill>
          </w14:textFill>
        </w:rPr>
        <w:t>根据财政部2026年1月14日发布的《关于推动解决政府采购异常低价问题的通知》（以下简称《异常低价通知》）规定，本项目将对投标人的异常低价进行审查。如投标人报价中出现《异常低价通知》中的相关情形，评审委员会应当启动异常低价投标（响应）审查程序，并要求供应商在评审现场合理的时间内对投标（响应）价格作出解释，并提交具体成本测算等与报价合理性相关的证明材料（包括但不限于供应商投标报价期上一年度自身生产、经营成本及相关证明材料，证明材料包括：第三方机构出具的自身生产、经营成本的审计报告等相关证明材料证明其报价合理性）</w:t>
      </w:r>
      <w:r>
        <w:rPr>
          <w:rFonts w:hint="eastAsia" w:ascii="宋体" w:cs="宋体"/>
          <w:color w:val="000000" w:themeColor="text1"/>
          <w:kern w:val="0"/>
          <w:position w:val="-1"/>
          <w:szCs w:val="24"/>
          <w14:textFill>
            <w14:solidFill>
              <w14:schemeClr w14:val="tx1"/>
            </w14:solidFill>
          </w14:textFill>
        </w:rPr>
        <w:t>及</w:t>
      </w:r>
      <w:r>
        <w:rPr>
          <w:rFonts w:hint="eastAsia" w:ascii="宋体" w:cs="宋体"/>
          <w:color w:val="000000" w:themeColor="text1"/>
          <w:kern w:val="0"/>
          <w:position w:val="-1"/>
          <w:szCs w:val="24"/>
          <w:lang w:val="zh-CN"/>
          <w14:textFill>
            <w14:solidFill>
              <w14:schemeClr w14:val="tx1"/>
            </w14:solidFill>
          </w14:textFill>
        </w:rPr>
        <w:t>《质量保障承诺书》（第五章 格式二十</w:t>
      </w:r>
      <w:r>
        <w:rPr>
          <w:rFonts w:hint="eastAsia" w:ascii="宋体" w:cs="宋体"/>
          <w:color w:val="000000" w:themeColor="text1"/>
          <w:kern w:val="0"/>
          <w:position w:val="-1"/>
          <w:szCs w:val="24"/>
          <w14:textFill>
            <w14:solidFill>
              <w14:schemeClr w14:val="tx1"/>
            </w14:solidFill>
          </w14:textFill>
        </w:rPr>
        <w:t>四</w:t>
      </w:r>
      <w:r>
        <w:rPr>
          <w:rFonts w:hint="eastAsia" w:ascii="宋体" w:cs="宋体"/>
          <w:color w:val="000000" w:themeColor="text1"/>
          <w:kern w:val="0"/>
          <w:position w:val="-1"/>
          <w:szCs w:val="24"/>
          <w:lang w:val="zh-CN"/>
          <w14:textFill>
            <w14:solidFill>
              <w14:schemeClr w14:val="tx1"/>
            </w14:solidFill>
          </w14:textFill>
        </w:rPr>
        <w:t>）。如果供应商不提供书面说明、证明材料，或者提供的书面说明、证明材料不能证明其报价合理性的，评审委员会应当将其作为无效投标（响应）处理。。</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七、对可接受分支机构投标的项目，分支机构投标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八、评标委员会评标时，对供应商部分信息直接取自供应商在广州交易集团有限公司网站企业库登记的信息，请供应商及时维护、更新企业库的信息，确保其时效性。</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九、供应商一旦依法被确认为中标人，其投标文件中的相关内容（主要中标标的的名称、规格型号、数量、单价、服务要求等），将会随中标结果公告一并发布在采购信息发布网上，接受社会监督。</w:t>
      </w:r>
      <w:r>
        <w:rPr>
          <w:rFonts w:ascii="宋体" w:cs="宋体"/>
          <w:color w:val="000000" w:themeColor="text1"/>
          <w:kern w:val="0"/>
          <w:position w:val="-1"/>
          <w:szCs w:val="24"/>
          <w:lang w:val="zh-CN"/>
          <w14:textFill>
            <w14:solidFill>
              <w14:schemeClr w14:val="tx1"/>
            </w14:solidFill>
          </w14:textFill>
        </w:rPr>
        <w:cr/>
      </w:r>
      <w:r>
        <w:rPr>
          <w:rFonts w:ascii="宋体" w:cs="宋体"/>
          <w:color w:val="000000" w:themeColor="text1"/>
          <w:kern w:val="0"/>
          <w:position w:val="-1"/>
          <w:szCs w:val="24"/>
          <w:lang w:val="zh-CN"/>
          <w14:textFill>
            <w14:solidFill>
              <w14:schemeClr w14:val="tx1"/>
            </w14:solidFill>
          </w14:textFill>
        </w:rPr>
        <w:tab/>
      </w:r>
      <w:r>
        <w:rPr>
          <w:rFonts w:ascii="宋体" w:cs="宋体"/>
          <w:color w:val="000000" w:themeColor="text1"/>
          <w:kern w:val="0"/>
          <w:position w:val="-1"/>
          <w:szCs w:val="24"/>
          <w:lang w:val="zh-CN"/>
          <w14:textFill>
            <w14:solidFill>
              <w14:schemeClr w14:val="tx1"/>
            </w14:solidFill>
          </w14:textFill>
        </w:rPr>
        <w:t>十、市政府采购中心为采购代理机构，不对供应商进行项目投标登记时提交的相关资料的真实性负责，如供应商发现相关资料被盗用或复制，应遵循法律途径解决，追究侵权者责任。</w:t>
      </w:r>
    </w:p>
    <w:p>
      <w:pPr>
        <w:spacing w:line="360" w:lineRule="auto"/>
        <w:ind w:firstLine="480" w:firstLineChars="200"/>
        <w:rPr>
          <w:rFonts w:ascii="宋体" w:cs="宋体"/>
          <w:color w:val="000000" w:themeColor="text1"/>
          <w:kern w:val="0"/>
          <w:position w:val="-1"/>
          <w:szCs w:val="24"/>
          <w14:textFill>
            <w14:solidFill>
              <w14:schemeClr w14:val="tx1"/>
            </w14:solidFill>
          </w14:textFill>
        </w:rPr>
      </w:pPr>
      <w:r>
        <w:rPr>
          <w:rFonts w:hint="eastAsia" w:ascii="宋体" w:cs="宋体"/>
          <w:color w:val="000000" w:themeColor="text1"/>
          <w:kern w:val="0"/>
          <w:position w:val="-1"/>
          <w:szCs w:val="24"/>
          <w14:textFill>
            <w14:solidFill>
              <w14:schemeClr w14:val="tx1"/>
            </w14:solidFill>
          </w14:textFill>
        </w:rPr>
        <w:t>十一、供应商注册：需在</w:t>
      </w:r>
      <w:r>
        <w:rPr>
          <w:rFonts w:hint="eastAsia" w:ascii="宋体" w:cs="宋体"/>
          <w:color w:val="000000" w:themeColor="text1"/>
          <w:kern w:val="0"/>
          <w:position w:val="-1"/>
          <w:szCs w:val="24"/>
          <w:lang w:val="zh-CN"/>
          <w14:textFill>
            <w14:solidFill>
              <w14:schemeClr w14:val="tx1"/>
            </w14:solidFill>
          </w14:textFill>
        </w:rPr>
        <w:t>广州市政府采购中心采购综合管理服务平台</w:t>
      </w:r>
      <w:r>
        <w:rPr>
          <w:rFonts w:hint="eastAsia" w:ascii="宋体" w:cs="宋体"/>
          <w:color w:val="000000" w:themeColor="text1"/>
          <w:kern w:val="0"/>
          <w:position w:val="-1"/>
          <w:szCs w:val="24"/>
          <w14:textFill>
            <w14:solidFill>
              <w14:schemeClr w14:val="tx1"/>
            </w14:solidFill>
          </w14:textFill>
        </w:rPr>
        <w:t>自行注册，准确填写基础信息并自主设置账号、密码；供应商注册完成后应妥善保管账号信息，并及时更新和维护单位基本信息。供应商同时参与广东政府采购智慧云平台业务的，应当确认不同平台的注册信息（包括但不限于单位名称、统一社会信用代码等关键信息）的一致性。</w:t>
      </w:r>
    </w:p>
    <w:p>
      <w:pPr>
        <w:spacing w:line="360" w:lineRule="auto"/>
        <w:ind w:firstLine="480" w:firstLineChars="200"/>
        <w:rPr>
          <w:rFonts w:ascii="宋体" w:cs="宋体"/>
          <w:color w:val="000000" w:themeColor="text1"/>
          <w:kern w:val="0"/>
          <w:position w:val="-1"/>
          <w:szCs w:val="24"/>
          <w14:textFill>
            <w14:solidFill>
              <w14:schemeClr w14:val="tx1"/>
            </w14:solidFill>
          </w14:textFill>
        </w:rPr>
      </w:pPr>
      <w:r>
        <w:rPr>
          <w:rFonts w:hint="eastAsia" w:ascii="宋体" w:cs="宋体"/>
          <w:color w:val="000000" w:themeColor="text1"/>
          <w:kern w:val="0"/>
          <w:position w:val="-1"/>
          <w:szCs w:val="24"/>
          <w14:textFill>
            <w14:solidFill>
              <w14:schemeClr w14:val="tx1"/>
            </w14:solidFill>
          </w14:textFill>
        </w:rPr>
        <w:t>注册地址：</w:t>
      </w:r>
    </w:p>
    <w:p>
      <w:pPr>
        <w:spacing w:line="360" w:lineRule="auto"/>
        <w:ind w:firstLine="480" w:firstLineChars="200"/>
        <w:rPr>
          <w:rFonts w:ascii="宋体" w:cs="宋体"/>
          <w:color w:val="000000" w:themeColor="text1"/>
          <w:kern w:val="0"/>
          <w:position w:val="-1"/>
          <w:szCs w:val="24"/>
          <w14:textFill>
            <w14:solidFill>
              <w14:schemeClr w14:val="tx1"/>
            </w14:solidFill>
          </w14:textFill>
        </w:rPr>
      </w:pPr>
      <w:r>
        <w:rPr>
          <w:rFonts w:ascii="宋体" w:cs="宋体"/>
          <w:color w:val="000000" w:themeColor="text1"/>
          <w:kern w:val="0"/>
          <w:position w:val="-1"/>
          <w:szCs w:val="24"/>
          <w14:textFill>
            <w14:solidFill>
              <w14:schemeClr w14:val="tx1"/>
            </w14:solidFill>
          </w14:textFill>
        </w:rPr>
        <w:t>https://gcycloud.cn/gpbs-gpbs/index.html#/gpbs/supplierReg/registrationPage?zoneCode=440101&amp;tenantId=ZF_DLJG_000004</w:t>
      </w:r>
    </w:p>
    <w:p>
      <w:pPr>
        <w:spacing w:line="360" w:lineRule="auto"/>
        <w:rPr>
          <w:color w:val="000000" w:themeColor="text1"/>
          <w:szCs w:val="24"/>
          <w14:textFill>
            <w14:solidFill>
              <w14:schemeClr w14:val="tx1"/>
            </w14:solidFill>
          </w14:textFill>
        </w:rPr>
      </w:pPr>
    </w:p>
    <w:p>
      <w:pPr>
        <w:spacing w:line="360"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（本提示内容非招标文件的组成部分，仅为善意提醒。如有不一致，以招标文件为准。）</w:t>
      </w:r>
    </w:p>
    <w:p>
      <w:pPr>
        <w:spacing w:line="360" w:lineRule="auto"/>
        <w:ind w:firstLine="480" w:firstLineChars="200"/>
        <w:rPr>
          <w:color w:val="000000" w:themeColor="text1"/>
          <w14:textFill>
            <w14:solidFill>
              <w14:schemeClr w14:val="tx1"/>
            </w14:solidFill>
          </w14:textFill>
        </w:rPr>
        <w:sectPr>
          <w:headerReference r:id="rId5" w:type="first"/>
          <w:headerReference r:id="rId3" w:type="default"/>
          <w:footerReference r:id="rId6" w:type="default"/>
          <w:headerReference r:id="rId4" w:type="even"/>
          <w:pgSz w:w="11906" w:h="16838"/>
          <w:pgMar w:top="1440" w:right="1080" w:bottom="1440" w:left="1080" w:header="851" w:footer="992" w:gutter="0"/>
          <w:cols w:space="720" w:num="1"/>
          <w:docGrid w:type="lines" w:linePitch="326" w:charSpace="0"/>
        </w:sectPr>
      </w:pPr>
    </w:p>
    <w:p>
      <w:pPr>
        <w:pStyle w:val="25"/>
        <w:jc w:val="center"/>
        <w:rPr>
          <w:rFonts w:cs="Arial"/>
          <w:b/>
          <w:sz w:val="32"/>
          <w:szCs w:val="32"/>
        </w:rPr>
      </w:pPr>
      <w:r>
        <w:rPr>
          <w:rFonts w:hint="eastAsia" w:cs="Arial"/>
          <w:b/>
          <w:sz w:val="32"/>
          <w:szCs w:val="32"/>
        </w:rPr>
        <w:t>广州海关技术中心2026年实验室仪器设备维保服务项目（三次）</w:t>
      </w:r>
    </w:p>
    <w:p>
      <w:pPr>
        <w:pStyle w:val="25"/>
        <w:jc w:val="center"/>
        <w:rPr>
          <w:b/>
          <w:bCs/>
          <w:sz w:val="30"/>
          <w:szCs w:val="30"/>
        </w:rPr>
      </w:pPr>
      <w:r>
        <w:rPr>
          <w:b/>
          <w:bCs/>
          <w:sz w:val="30"/>
          <w:szCs w:val="30"/>
        </w:rPr>
        <w:t>（</w:t>
      </w:r>
      <w:r>
        <w:rPr>
          <w:rFonts w:hint="eastAsia" w:cs="Arial"/>
          <w:b/>
          <w:sz w:val="32"/>
          <w:szCs w:val="32"/>
        </w:rPr>
        <w:t>QCZ2026-0026</w:t>
      </w:r>
      <w:r>
        <w:rPr>
          <w:b/>
          <w:bCs/>
          <w:sz w:val="30"/>
          <w:szCs w:val="30"/>
        </w:rPr>
        <w:t>）招标</w:t>
      </w:r>
      <w:r>
        <w:rPr>
          <w:rFonts w:hint="eastAsia"/>
          <w:b/>
          <w:bCs/>
          <w:sz w:val="30"/>
          <w:szCs w:val="30"/>
        </w:rPr>
        <w:t>邀请</w:t>
      </w:r>
    </w:p>
    <w:p>
      <w:pPr>
        <w:pStyle w:val="8"/>
        <w:widowControl/>
        <w:spacing w:before="150" w:beforeAutospacing="0" w:after="150" w:afterAutospacing="0" w:line="30" w:lineRule="atLeast"/>
        <w:textAlignment w:val="baseline"/>
        <w:rPr>
          <w:b w:val="0"/>
          <w:bCs w:val="0"/>
          <w:sz w:val="24"/>
          <w:szCs w:val="24"/>
        </w:rPr>
      </w:pPr>
      <w:r>
        <w:rPr>
          <w:rStyle w:val="33"/>
          <w:b/>
          <w:bCs/>
          <w:sz w:val="24"/>
          <w:szCs w:val="24"/>
          <w:shd w:val="clear" w:color="auto" w:fill="FFFFFF"/>
        </w:rPr>
        <w:t>项目概况</w:t>
      </w:r>
    </w:p>
    <w:p>
      <w:pPr>
        <w:pStyle w:val="25"/>
        <w:spacing w:before="150" w:after="150" w:line="480" w:lineRule="atLeast"/>
        <w:ind w:firstLine="480"/>
        <w:jc w:val="both"/>
        <w:textAlignment w:val="baseline"/>
        <w:rPr>
          <w:shd w:val="clear" w:color="auto" w:fill="FFFFFF"/>
        </w:rPr>
      </w:pPr>
      <w:r>
        <w:rPr>
          <w:rFonts w:hint="eastAsia"/>
          <w:shd w:val="clear" w:color="auto" w:fill="FFFFFF"/>
        </w:rPr>
        <w:t>广州海关技术中心2026年实验室仪器设备维保服务项目（三次）的潜在投标人应在</w:t>
      </w:r>
      <w:r>
        <w:rPr>
          <w:rFonts w:hint="eastAsia"/>
          <w:kern w:val="2"/>
          <w:u w:val="single"/>
        </w:rPr>
        <w:t>广州市政府采购中心采购综合管理服务平台网站（</w:t>
      </w:r>
      <w:r>
        <w:rPr>
          <w:kern w:val="2"/>
          <w:u w:val="single"/>
        </w:rPr>
        <w:t>https://gcycloud.cn/gateway/gp-auth-center/login?tenantId=ZF_DLJG_000004</w:t>
      </w:r>
      <w:r>
        <w:rPr>
          <w:rFonts w:hint="eastAsia"/>
          <w:kern w:val="2"/>
          <w:u w:val="single"/>
        </w:rPr>
        <w:t>)</w:t>
      </w:r>
      <w:r>
        <w:rPr>
          <w:rFonts w:hint="eastAsia"/>
          <w:shd w:val="clear" w:color="auto" w:fill="FFFFFF"/>
        </w:rPr>
        <w:t>在线获取招标文件，并于</w:t>
      </w:r>
      <w:bookmarkStart w:id="40" w:name="_GoBack"/>
      <w:r>
        <w:rPr>
          <w:rFonts w:hint="eastAsia"/>
          <w:shd w:val="clear" w:color="auto" w:fill="FFFFFF"/>
        </w:rPr>
        <w:t>2026年</w:t>
      </w:r>
      <w:r>
        <w:rPr>
          <w:rFonts w:hint="eastAsia"/>
          <w:shd w:val="clear" w:color="auto" w:fill="FFFFFF"/>
          <w:lang w:val="en-US" w:eastAsia="zh-CN"/>
        </w:rPr>
        <w:t>9</w:t>
      </w:r>
      <w:r>
        <w:rPr>
          <w:rFonts w:hint="eastAsia"/>
          <w:shd w:val="clear" w:color="auto" w:fill="FFFFFF"/>
        </w:rPr>
        <w:t>月</w:t>
      </w:r>
      <w:r>
        <w:rPr>
          <w:rFonts w:hint="eastAsia"/>
          <w:shd w:val="clear" w:color="auto" w:fill="FFFFFF"/>
          <w:lang w:val="en-US" w:eastAsia="zh-CN"/>
        </w:rPr>
        <w:t>18</w:t>
      </w:r>
      <w:r>
        <w:rPr>
          <w:rFonts w:hint="eastAsia"/>
          <w:shd w:val="clear" w:color="auto" w:fill="FFFFFF"/>
        </w:rPr>
        <w:t>日 09时0</w:t>
      </w:r>
      <w:bookmarkEnd w:id="40"/>
      <w:r>
        <w:rPr>
          <w:rFonts w:hint="eastAsia"/>
          <w:shd w:val="clear" w:color="auto" w:fill="FFFFFF"/>
        </w:rPr>
        <w:t>0分（北京时间）前递交投标文件。</w:t>
      </w:r>
    </w:p>
    <w:p>
      <w:pPr>
        <w:pStyle w:val="6"/>
        <w:widowControl/>
        <w:spacing w:before="150" w:beforeAutospacing="0" w:afterAutospacing="0" w:line="750" w:lineRule="atLeast"/>
        <w:textAlignment w:val="baseline"/>
        <w:rPr>
          <w:rFonts w:cs="宋体"/>
          <w:b w:val="0"/>
          <w:bCs w:val="0"/>
        </w:rPr>
      </w:pPr>
      <w:r>
        <w:rPr>
          <w:rStyle w:val="33"/>
          <w:rFonts w:cs="宋体"/>
          <w:b/>
          <w:bCs/>
          <w:shd w:val="clear" w:color="auto" w:fill="FFFFFF"/>
        </w:rPr>
        <w:t>一、项目基本情况</w:t>
      </w:r>
    </w:p>
    <w:p>
      <w:pPr>
        <w:pStyle w:val="25"/>
        <w:spacing w:line="480" w:lineRule="atLeast"/>
        <w:ind w:firstLine="480"/>
        <w:jc w:val="both"/>
        <w:textAlignment w:val="baseline"/>
      </w:pPr>
      <w:r>
        <w:rPr>
          <w:rFonts w:hint="eastAsia"/>
          <w:shd w:val="clear" w:color="auto" w:fill="FFFFFF"/>
        </w:rPr>
        <w:t>项目编号：QCZ2026-0026</w:t>
      </w:r>
    </w:p>
    <w:p>
      <w:pPr>
        <w:pStyle w:val="25"/>
        <w:spacing w:line="480" w:lineRule="atLeast"/>
        <w:ind w:left="480" w:leftChars="200"/>
        <w:jc w:val="both"/>
        <w:textAlignment w:val="baseline"/>
        <w:rPr>
          <w:shd w:val="clear" w:color="auto" w:fill="FFFFFF"/>
        </w:rPr>
      </w:pPr>
      <w:r>
        <w:rPr>
          <w:rFonts w:hint="eastAsia"/>
          <w:shd w:val="clear" w:color="auto" w:fill="FFFFFF"/>
        </w:rPr>
        <w:t>项目名称：广州海关技术中心2026年实验室仪器设备维保服务项目（三次）</w:t>
      </w:r>
    </w:p>
    <w:p>
      <w:pPr>
        <w:pStyle w:val="25"/>
        <w:spacing w:line="480" w:lineRule="atLeast"/>
        <w:ind w:left="480" w:leftChars="200"/>
        <w:jc w:val="both"/>
        <w:textAlignment w:val="baseline"/>
      </w:pPr>
      <w:r>
        <w:rPr>
          <w:rFonts w:hint="eastAsia"/>
          <w:shd w:val="clear" w:color="auto" w:fill="FFFFFF"/>
        </w:rPr>
        <w:t>采购方式：公开招标</w:t>
      </w:r>
    </w:p>
    <w:p>
      <w:pPr>
        <w:pStyle w:val="25"/>
        <w:spacing w:line="480" w:lineRule="atLeast"/>
        <w:ind w:firstLine="480"/>
        <w:jc w:val="both"/>
        <w:textAlignment w:val="baseline"/>
      </w:pPr>
      <w:r>
        <w:rPr>
          <w:rFonts w:hint="eastAsia"/>
          <w:shd w:val="clear" w:color="auto" w:fill="FFFFFF"/>
        </w:rPr>
        <w:t>预算金额：740000.00元</w:t>
      </w:r>
    </w:p>
    <w:p>
      <w:pPr>
        <w:spacing w:line="360" w:lineRule="auto"/>
        <w:ind w:firstLine="480" w:firstLineChars="200"/>
      </w:pPr>
      <w:r>
        <w:rPr>
          <w:rFonts w:hint="eastAsia"/>
          <w:shd w:val="clear" w:color="auto" w:fill="FFFFFF"/>
        </w:rPr>
        <w:t>采购需求：广州海关技术中心2026年实验室仪器设备维保服务。</w:t>
      </w:r>
    </w:p>
    <w:p>
      <w:pPr>
        <w:pStyle w:val="25"/>
        <w:spacing w:line="480" w:lineRule="atLeast"/>
        <w:ind w:firstLine="240" w:firstLineChars="100"/>
        <w:jc w:val="both"/>
        <w:textAlignment w:val="baseline"/>
        <w:rPr>
          <w:shd w:val="clear" w:color="auto" w:fill="FFFFFF"/>
        </w:rPr>
      </w:pPr>
      <w:r>
        <w:rPr>
          <w:rFonts w:hint="eastAsia"/>
          <w:shd w:val="clear" w:color="auto" w:fill="FFFFFF"/>
        </w:rPr>
        <w:t>采购包1(广州海关技术中心2026年实验室仪器设备维保服务项目（子包2））:</w:t>
      </w:r>
    </w:p>
    <w:p>
      <w:pPr>
        <w:pStyle w:val="25"/>
        <w:spacing w:line="480" w:lineRule="atLeast"/>
        <w:ind w:firstLine="630"/>
        <w:jc w:val="both"/>
        <w:textAlignment w:val="baseline"/>
      </w:pPr>
      <w:r>
        <w:rPr>
          <w:rFonts w:hint="eastAsia"/>
          <w:shd w:val="clear" w:color="auto" w:fill="FFFFFF"/>
        </w:rPr>
        <w:t>采购包预算金额：740000.00元</w:t>
      </w:r>
    </w:p>
    <w:tbl>
      <w:tblPr>
        <w:tblStyle w:val="30"/>
        <w:tblW w:w="4997" w:type="pct"/>
        <w:tblInd w:w="0" w:type="dxa"/>
        <w:tblLayout w:type="autofit"/>
        <w:tblCellMar>
          <w:top w:w="0" w:type="dxa"/>
          <w:left w:w="0" w:type="dxa"/>
          <w:bottom w:w="0" w:type="dxa"/>
          <w:right w:w="0" w:type="dxa"/>
        </w:tblCellMar>
      </w:tblPr>
      <w:tblGrid>
        <w:gridCol w:w="561"/>
        <w:gridCol w:w="1468"/>
        <w:gridCol w:w="2105"/>
        <w:gridCol w:w="1096"/>
        <w:gridCol w:w="1404"/>
        <w:gridCol w:w="1671"/>
        <w:gridCol w:w="1675"/>
      </w:tblGrid>
      <w:tr>
        <w:tblPrEx>
          <w:tblCellMar>
            <w:top w:w="0" w:type="dxa"/>
            <w:left w:w="0" w:type="dxa"/>
            <w:bottom w:w="0" w:type="dxa"/>
            <w:right w:w="0" w:type="dxa"/>
          </w:tblCellMar>
        </w:tblPrEx>
        <w:trPr>
          <w:trHeight w:val="480" w:hRule="atLeast"/>
          <w:tblHeader/>
        </w:trPr>
        <w:tc>
          <w:tcPr>
            <w:tcW w:w="281"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品目号</w:t>
            </w:r>
          </w:p>
        </w:tc>
        <w:tc>
          <w:tcPr>
            <w:tcW w:w="735"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品目名称</w:t>
            </w:r>
          </w:p>
        </w:tc>
        <w:tc>
          <w:tcPr>
            <w:tcW w:w="1054"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采购标的</w:t>
            </w:r>
          </w:p>
        </w:tc>
        <w:tc>
          <w:tcPr>
            <w:tcW w:w="549"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数量（单位）</w:t>
            </w:r>
          </w:p>
        </w:tc>
        <w:tc>
          <w:tcPr>
            <w:tcW w:w="703"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技术规格、参数及要求</w:t>
            </w:r>
          </w:p>
        </w:tc>
        <w:tc>
          <w:tcPr>
            <w:tcW w:w="837"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品目预算(</w:t>
            </w:r>
            <w:r>
              <w:rPr>
                <w:rFonts w:hint="eastAsia" w:ascii="宋体" w:cs="宋体"/>
                <w:b/>
                <w:bCs/>
                <w:kern w:val="0"/>
                <w:szCs w:val="24"/>
              </w:rPr>
              <w:t>万</w:t>
            </w:r>
            <w:r>
              <w:rPr>
                <w:rFonts w:ascii="宋体" w:cs="宋体"/>
                <w:b/>
                <w:bCs/>
                <w:kern w:val="0"/>
                <w:szCs w:val="24"/>
              </w:rPr>
              <w:t>元)</w:t>
            </w:r>
          </w:p>
        </w:tc>
        <w:tc>
          <w:tcPr>
            <w:tcW w:w="839"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b/>
                <w:bCs/>
                <w:szCs w:val="24"/>
              </w:rPr>
            </w:pPr>
            <w:r>
              <w:rPr>
                <w:rFonts w:ascii="宋体" w:cs="宋体"/>
                <w:b/>
                <w:bCs/>
                <w:kern w:val="0"/>
                <w:szCs w:val="24"/>
              </w:rPr>
              <w:t>最高限价(</w:t>
            </w:r>
            <w:r>
              <w:rPr>
                <w:rFonts w:hint="eastAsia" w:ascii="宋体" w:cs="宋体"/>
                <w:b/>
                <w:bCs/>
                <w:kern w:val="0"/>
                <w:szCs w:val="24"/>
              </w:rPr>
              <w:t>万</w:t>
            </w:r>
            <w:r>
              <w:rPr>
                <w:rFonts w:ascii="宋体" w:cs="宋体"/>
                <w:b/>
                <w:bCs/>
                <w:kern w:val="0"/>
                <w:szCs w:val="24"/>
              </w:rPr>
              <w:t>元)</w:t>
            </w:r>
          </w:p>
        </w:tc>
      </w:tr>
      <w:tr>
        <w:tblPrEx>
          <w:tblCellMar>
            <w:top w:w="0" w:type="dxa"/>
            <w:left w:w="0" w:type="dxa"/>
            <w:bottom w:w="0" w:type="dxa"/>
            <w:right w:w="0" w:type="dxa"/>
          </w:tblCellMar>
        </w:tblPrEx>
        <w:trPr>
          <w:trHeight w:val="1228" w:hRule="atLeast"/>
        </w:trPr>
        <w:tc>
          <w:tcPr>
            <w:tcW w:w="281"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rFonts w:ascii="宋体" w:cs="宋体"/>
                <w:kern w:val="0"/>
                <w:szCs w:val="24"/>
              </w:rPr>
            </w:pPr>
            <w:r>
              <w:rPr>
                <w:rFonts w:ascii="宋体" w:cs="宋体"/>
                <w:kern w:val="0"/>
                <w:szCs w:val="24"/>
              </w:rPr>
              <w:t>1-1</w:t>
            </w:r>
          </w:p>
        </w:tc>
        <w:tc>
          <w:tcPr>
            <w:tcW w:w="735"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rFonts w:ascii="宋体" w:cs="宋体"/>
                <w:kern w:val="0"/>
                <w:szCs w:val="24"/>
              </w:rPr>
            </w:pPr>
            <w:r>
              <w:rPr>
                <w:rFonts w:hint="eastAsia" w:ascii="宋体" w:cs="宋体"/>
                <w:kern w:val="0"/>
                <w:szCs w:val="24"/>
              </w:rPr>
              <w:t>其他维修和保养服务</w:t>
            </w:r>
          </w:p>
        </w:tc>
        <w:tc>
          <w:tcPr>
            <w:tcW w:w="0" w:type="auto"/>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adjustRightInd w:val="0"/>
              <w:snapToGrid w:val="0"/>
              <w:spacing w:line="360" w:lineRule="exact"/>
              <w:jc w:val="center"/>
              <w:rPr>
                <w:rFonts w:ascii="宋体" w:cs="宋体"/>
                <w:kern w:val="0"/>
                <w:szCs w:val="24"/>
              </w:rPr>
            </w:pPr>
            <w:r>
              <w:rPr>
                <w:rFonts w:hint="eastAsia" w:ascii="宋体" w:cs="宋体"/>
                <w:szCs w:val="24"/>
                <w:shd w:val="clear" w:color="auto" w:fill="FFFFFF"/>
              </w:rPr>
              <w:t>广州海关技术中心2026年度实验室仪器设备维保服务（子包2）</w:t>
            </w:r>
          </w:p>
        </w:tc>
        <w:tc>
          <w:tcPr>
            <w:tcW w:w="549"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rFonts w:ascii="宋体" w:cs="宋体"/>
                <w:kern w:val="0"/>
                <w:szCs w:val="24"/>
              </w:rPr>
            </w:pPr>
            <w:r>
              <w:rPr>
                <w:rFonts w:hint="eastAsia" w:ascii="宋体" w:cs="宋体"/>
                <w:kern w:val="0"/>
                <w:szCs w:val="24"/>
              </w:rPr>
              <w:t>1</w:t>
            </w:r>
            <w:r>
              <w:rPr>
                <w:rFonts w:ascii="宋体" w:cs="宋体"/>
                <w:kern w:val="0"/>
                <w:szCs w:val="24"/>
              </w:rPr>
              <w:t>(</w:t>
            </w:r>
            <w:r>
              <w:rPr>
                <w:rFonts w:hint="eastAsia" w:ascii="宋体" w:cs="宋体"/>
                <w:kern w:val="0"/>
                <w:szCs w:val="24"/>
              </w:rPr>
              <w:t>项</w:t>
            </w:r>
            <w:r>
              <w:rPr>
                <w:rFonts w:ascii="宋体" w:cs="宋体"/>
                <w:kern w:val="0"/>
                <w:szCs w:val="24"/>
              </w:rPr>
              <w:t>)</w:t>
            </w:r>
          </w:p>
        </w:tc>
        <w:tc>
          <w:tcPr>
            <w:tcW w:w="703"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widowControl/>
              <w:wordWrap w:val="0"/>
              <w:spacing w:line="360" w:lineRule="atLeast"/>
              <w:jc w:val="center"/>
              <w:textAlignment w:val="center"/>
              <w:rPr>
                <w:rFonts w:ascii="宋体" w:cs="宋体"/>
                <w:kern w:val="0"/>
                <w:szCs w:val="24"/>
              </w:rPr>
            </w:pPr>
            <w:r>
              <w:rPr>
                <w:rFonts w:ascii="宋体" w:cs="宋体"/>
                <w:kern w:val="0"/>
                <w:szCs w:val="24"/>
              </w:rPr>
              <w:t>详见采购文件</w:t>
            </w:r>
          </w:p>
        </w:tc>
        <w:tc>
          <w:tcPr>
            <w:tcW w:w="837"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jc w:val="center"/>
              <w:rPr>
                <w:rFonts w:ascii="宋体" w:cs="宋体"/>
                <w:kern w:val="0"/>
                <w:szCs w:val="24"/>
              </w:rPr>
            </w:pPr>
            <w:r>
              <w:rPr>
                <w:rFonts w:hint="eastAsia" w:ascii="宋体" w:cs="宋体"/>
              </w:rPr>
              <w:t>74</w:t>
            </w:r>
          </w:p>
        </w:tc>
        <w:tc>
          <w:tcPr>
            <w:tcW w:w="839" w:type="pct"/>
            <w:tcBorders>
              <w:top w:val="single" w:color="333333" w:sz="6" w:space="0"/>
              <w:left w:val="single" w:color="333333" w:sz="6" w:space="0"/>
              <w:bottom w:val="single" w:color="333333" w:sz="6" w:space="0"/>
              <w:right w:val="single" w:color="333333" w:sz="6" w:space="0"/>
            </w:tcBorders>
            <w:tcMar>
              <w:top w:w="75" w:type="dxa"/>
              <w:left w:w="120" w:type="dxa"/>
              <w:bottom w:w="75" w:type="dxa"/>
              <w:right w:w="120" w:type="dxa"/>
            </w:tcMar>
            <w:vAlign w:val="center"/>
          </w:tcPr>
          <w:p>
            <w:pPr>
              <w:jc w:val="center"/>
              <w:rPr>
                <w:rFonts w:ascii="宋体" w:cs="宋体"/>
                <w:kern w:val="0"/>
                <w:szCs w:val="24"/>
              </w:rPr>
            </w:pPr>
            <w:r>
              <w:rPr>
                <w:rFonts w:hint="eastAsia" w:ascii="宋体" w:cs="宋体"/>
              </w:rPr>
              <w:t>74</w:t>
            </w:r>
          </w:p>
        </w:tc>
      </w:tr>
    </w:tbl>
    <w:p>
      <w:pPr>
        <w:pStyle w:val="25"/>
        <w:spacing w:line="480" w:lineRule="atLeast"/>
        <w:ind w:firstLine="240" w:firstLineChars="100"/>
        <w:jc w:val="both"/>
        <w:textAlignment w:val="baseline"/>
        <w:rPr>
          <w:shd w:val="clear" w:color="auto" w:fill="FFFFFF"/>
        </w:rPr>
      </w:pPr>
      <w:r>
        <w:rPr>
          <w:rFonts w:hint="eastAsia"/>
          <w:shd w:val="clear" w:color="auto" w:fill="FFFFFF"/>
        </w:rPr>
        <w:t>合同履行期限：本项目服务期为一年期。</w:t>
      </w:r>
    </w:p>
    <w:p>
      <w:pPr>
        <w:pStyle w:val="332"/>
        <w:adjustRightInd/>
        <w:snapToGrid w:val="0"/>
        <w:spacing w:line="360" w:lineRule="auto"/>
        <w:textAlignment w:val="auto"/>
        <w:rPr>
          <w:rStyle w:val="33"/>
          <w:rFonts w:cs="宋体"/>
          <w:shd w:val="clear" w:color="auto" w:fill="FFFFFF"/>
        </w:rPr>
      </w:pPr>
    </w:p>
    <w:p>
      <w:pPr>
        <w:pStyle w:val="332"/>
        <w:adjustRightInd/>
        <w:snapToGrid w:val="0"/>
        <w:spacing w:line="360" w:lineRule="auto"/>
        <w:textAlignment w:val="auto"/>
        <w:rPr>
          <w:rFonts w:cs="宋体"/>
          <w:sz w:val="24"/>
        </w:rPr>
      </w:pPr>
      <w:r>
        <w:rPr>
          <w:rStyle w:val="33"/>
          <w:rFonts w:cs="宋体"/>
          <w:sz w:val="24"/>
          <w:shd w:val="clear" w:color="auto" w:fill="FFFFFF"/>
        </w:rPr>
        <w:t>二、投标人的资格要求：</w:t>
      </w:r>
    </w:p>
    <w:p>
      <w:pPr>
        <w:pStyle w:val="25"/>
        <w:spacing w:line="480" w:lineRule="atLeast"/>
        <w:ind w:firstLine="480"/>
        <w:textAlignment w:val="baseline"/>
        <w:rPr>
          <w:b/>
          <w:bCs/>
          <w:shd w:val="clear" w:color="auto" w:fill="FFFFFF"/>
        </w:rPr>
      </w:pPr>
      <w:r>
        <w:rPr>
          <w:rFonts w:hint="eastAsia"/>
          <w:b/>
          <w:bCs/>
          <w:shd w:val="clear" w:color="auto" w:fill="FFFFFF"/>
        </w:rPr>
        <w:t>1.投标人应具备《中华人民共和国政府采购法》第二十二条规定的条件，提供下列材料：</w:t>
      </w:r>
    </w:p>
    <w:p>
      <w:pPr>
        <w:pStyle w:val="25"/>
        <w:spacing w:line="480" w:lineRule="atLeast"/>
        <w:ind w:firstLine="480"/>
        <w:textAlignment w:val="baseline"/>
        <w:rPr>
          <w:shd w:val="clear" w:color="auto" w:fill="FFFFFF"/>
        </w:rPr>
      </w:pPr>
      <w:r>
        <w:rPr>
          <w:rFonts w:hint="eastAsia"/>
          <w:shd w:val="clear" w:color="auto" w:fill="FFFFFF"/>
        </w:rPr>
        <w:t>（1）具有独立承担民事责任的能力，提供下列材料：</w:t>
      </w:r>
    </w:p>
    <w:p>
      <w:pPr>
        <w:pStyle w:val="25"/>
        <w:spacing w:line="480" w:lineRule="atLeast"/>
        <w:ind w:firstLine="480"/>
        <w:textAlignment w:val="baseline"/>
        <w:rPr>
          <w:shd w:val="clear" w:color="auto" w:fill="FFFFFF"/>
        </w:rPr>
      </w:pPr>
      <w:r>
        <w:rPr>
          <w:rFonts w:hint="eastAsia"/>
          <w:shd w:val="clear" w:color="auto" w:fill="FFFFFF"/>
        </w:rPr>
        <w:t>依据《投标函》及以下相关证照的扫描件之一：①企业法人提供企业法人营业执照；②事业法人提供事业法人登记证；③其他组织提供其他组织的营业执照或执业许可证；④自然人提供居民身份证等。分支机构投标的，还须提供分支机构的营业执照（执业许可证）扫描件及总公司（总所）出具给分支机构的授权书。</w:t>
      </w:r>
    </w:p>
    <w:p>
      <w:pPr>
        <w:pStyle w:val="25"/>
        <w:spacing w:line="480" w:lineRule="atLeast"/>
        <w:ind w:firstLine="480"/>
        <w:textAlignment w:val="baseline"/>
        <w:rPr>
          <w:shd w:val="clear" w:color="auto" w:fill="FFFFFF"/>
        </w:rPr>
      </w:pPr>
      <w:r>
        <w:rPr>
          <w:rFonts w:hint="eastAsia"/>
          <w:shd w:val="clear" w:color="auto" w:fill="FFFFFF"/>
        </w:rPr>
        <w:t>（2）有依法缴纳税收和社会保障资金的良好记录：依据《投标函</w:t>
      </w:r>
      <w:bookmarkStart w:id="8" w:name="_Hlk203980879"/>
      <w:r>
        <w:rPr>
          <w:rFonts w:hint="eastAsia"/>
          <w:shd w:val="clear" w:color="auto" w:fill="FFFFFF"/>
        </w:rPr>
        <w:t>》</w:t>
      </w:r>
      <w:bookmarkEnd w:id="8"/>
      <w:r>
        <w:rPr>
          <w:rFonts w:hint="eastAsia"/>
          <w:shd w:val="clear" w:color="auto" w:fill="FFFFFF"/>
        </w:rPr>
        <w:t>。</w:t>
      </w:r>
    </w:p>
    <w:p>
      <w:pPr>
        <w:pStyle w:val="25"/>
        <w:spacing w:line="480" w:lineRule="atLeast"/>
        <w:ind w:firstLine="480"/>
        <w:textAlignment w:val="baseline"/>
        <w:rPr>
          <w:shd w:val="clear" w:color="auto" w:fill="FFFFFF"/>
        </w:rPr>
      </w:pPr>
      <w:r>
        <w:rPr>
          <w:rFonts w:hint="eastAsia"/>
          <w:shd w:val="clear" w:color="auto" w:fill="FFFFFF"/>
        </w:rPr>
        <w:t>（3）具有良好的商业信誉和健全的财务会计制度：依据《投标函》。</w:t>
      </w:r>
    </w:p>
    <w:p>
      <w:pPr>
        <w:pStyle w:val="25"/>
        <w:spacing w:line="480" w:lineRule="atLeast"/>
        <w:ind w:firstLine="480"/>
        <w:textAlignment w:val="baseline"/>
        <w:rPr>
          <w:shd w:val="clear" w:color="auto" w:fill="FFFFFF"/>
        </w:rPr>
      </w:pPr>
      <w:r>
        <w:rPr>
          <w:rFonts w:hint="eastAsia"/>
          <w:shd w:val="clear" w:color="auto" w:fill="FFFFFF"/>
        </w:rPr>
        <w:t>（4）履行合同所必需的设备和专业技术能力：依据《投标函》。</w:t>
      </w:r>
    </w:p>
    <w:p>
      <w:pPr>
        <w:pStyle w:val="25"/>
        <w:spacing w:line="480" w:lineRule="atLeast"/>
        <w:ind w:firstLine="480"/>
        <w:jc w:val="both"/>
        <w:textAlignment w:val="baseline"/>
        <w:rPr>
          <w:shd w:val="clear" w:color="auto" w:fill="FFFFFF"/>
        </w:rPr>
      </w:pPr>
      <w:r>
        <w:rPr>
          <w:rFonts w:hint="eastAsia"/>
          <w:shd w:val="clear" w:color="auto" w:fill="FFFFFF"/>
        </w:rPr>
        <w:t>（5）参加采购活动前3年内，在经营活动中没有重大违法记录：依据《投标函》</w:t>
      </w:r>
      <w:r>
        <w:rPr>
          <w:rFonts w:hint="eastAsia"/>
        </w:rPr>
        <w:t>。</w:t>
      </w:r>
    </w:p>
    <w:p>
      <w:pPr>
        <w:pStyle w:val="25"/>
        <w:spacing w:line="480" w:lineRule="atLeast"/>
        <w:ind w:firstLine="480"/>
        <w:jc w:val="both"/>
        <w:textAlignment w:val="baseline"/>
      </w:pPr>
      <w:r>
        <w:rPr>
          <w:rFonts w:hint="eastAsia"/>
          <w:b/>
          <w:bCs/>
          <w:shd w:val="clear" w:color="auto" w:fill="FFFFFF"/>
        </w:rPr>
        <w:t>2.落实政府采购政策需满足的资格要求：</w:t>
      </w:r>
    </w:p>
    <w:p>
      <w:pPr>
        <w:pStyle w:val="25"/>
        <w:spacing w:line="480" w:lineRule="atLeast"/>
        <w:ind w:firstLine="480"/>
        <w:jc w:val="both"/>
        <w:textAlignment w:val="baseline"/>
        <w:rPr>
          <w:shd w:val="clear" w:color="auto" w:fill="FFFFFF"/>
        </w:rPr>
      </w:pPr>
      <w:r>
        <w:rPr>
          <w:rFonts w:hint="eastAsia"/>
          <w:shd w:val="clear" w:color="auto" w:fill="FFFFFF"/>
        </w:rPr>
        <w:t>采购包1(广州海关技术中心2026年实验室仪器设备维保服务项目（子包2）):</w:t>
      </w:r>
    </w:p>
    <w:p>
      <w:pPr>
        <w:pStyle w:val="25"/>
        <w:spacing w:line="480" w:lineRule="atLeast"/>
        <w:ind w:firstLine="480"/>
        <w:jc w:val="both"/>
        <w:textAlignment w:val="baseline"/>
        <w:rPr>
          <w:rStyle w:val="37"/>
          <w:rFonts w:cs="Times New Roman"/>
          <w:sz w:val="24"/>
          <w:szCs w:val="24"/>
        </w:rPr>
      </w:pPr>
      <w:r>
        <w:rPr>
          <w:rStyle w:val="37"/>
          <w:rFonts w:hint="eastAsia" w:cs="Times New Roman"/>
          <w:sz w:val="24"/>
          <w:szCs w:val="24"/>
        </w:rPr>
        <w:t>本项目不属于专门面向中小微企业采购的项目。</w:t>
      </w:r>
    </w:p>
    <w:p>
      <w:pPr>
        <w:pStyle w:val="25"/>
        <w:spacing w:line="480" w:lineRule="atLeast"/>
        <w:ind w:firstLine="480"/>
        <w:jc w:val="both"/>
        <w:textAlignment w:val="baseline"/>
        <w:rPr>
          <w:b/>
          <w:bCs/>
          <w:shd w:val="clear" w:color="auto" w:fill="FFFFFF"/>
        </w:rPr>
      </w:pPr>
      <w:r>
        <w:rPr>
          <w:rFonts w:hint="eastAsia"/>
          <w:b/>
          <w:bCs/>
          <w:shd w:val="clear" w:color="auto" w:fill="FFFFFF"/>
        </w:rPr>
        <w:t>3.本项目的特定资格要求：</w:t>
      </w:r>
    </w:p>
    <w:p>
      <w:pPr>
        <w:pStyle w:val="25"/>
        <w:spacing w:line="480" w:lineRule="atLeast"/>
        <w:ind w:firstLine="480"/>
        <w:jc w:val="both"/>
        <w:textAlignment w:val="baseline"/>
        <w:rPr>
          <w:rStyle w:val="37"/>
          <w:rFonts w:cs="Times New Roman"/>
          <w:sz w:val="24"/>
          <w:szCs w:val="24"/>
        </w:rPr>
      </w:pPr>
      <w:r>
        <w:rPr>
          <w:rStyle w:val="37"/>
          <w:rFonts w:hint="eastAsia" w:cs="Times New Roman"/>
          <w:sz w:val="24"/>
          <w:szCs w:val="24"/>
        </w:rPr>
        <w:t>①本项目不接受联合体投标。②投标人未被列入“信用中国”网站中“记录失信被执行人或重大税收违法失信主体或政府采购严重违法失信行为”的记录名单；不处于“中国政府采购网”中“政府采购严重违法失信行为信息记录”的禁止参加政府采购活动期间（以采购代理机构或采购人于资格审查时在上述网站查询结果为准，如在上述网站查询结果均显示没有相关记录，视为没有上述不良信用记录。同时对信用信息查询记录和证据截图存档。如相关失信记录已失效，投标人须提供相关证明资料）。 3.投标人必须符合法律、行政法规规定的其他条件：依据《投标函》。</w:t>
      </w:r>
    </w:p>
    <w:p>
      <w:pPr>
        <w:pStyle w:val="6"/>
        <w:widowControl/>
        <w:spacing w:before="150" w:beforeAutospacing="0" w:afterAutospacing="0" w:line="750" w:lineRule="atLeast"/>
        <w:textAlignment w:val="baseline"/>
        <w:rPr>
          <w:rFonts w:cs="宋体"/>
          <w:b w:val="0"/>
          <w:bCs w:val="0"/>
        </w:rPr>
      </w:pPr>
      <w:r>
        <w:rPr>
          <w:rStyle w:val="33"/>
          <w:rFonts w:cs="宋体"/>
          <w:b/>
          <w:bCs/>
          <w:shd w:val="clear" w:color="auto" w:fill="FFFFFF"/>
        </w:rPr>
        <w:t>三、获取招标文件</w:t>
      </w:r>
    </w:p>
    <w:p>
      <w:pPr>
        <w:pStyle w:val="25"/>
        <w:spacing w:line="480" w:lineRule="atLeast"/>
        <w:ind w:firstLine="480"/>
        <w:jc w:val="both"/>
        <w:textAlignment w:val="baseline"/>
      </w:pPr>
      <w:r>
        <w:rPr>
          <w:rFonts w:hint="eastAsia"/>
          <w:shd w:val="clear" w:color="auto" w:fill="FFFFFF"/>
        </w:rPr>
        <w:t>时间：</w:t>
      </w:r>
      <w:bookmarkStart w:id="9" w:name="_Hlk203982440"/>
      <w:r>
        <w:t>详见招标公告及其变更公告（如有）</w:t>
      </w:r>
      <w:bookmarkEnd w:id="9"/>
    </w:p>
    <w:p>
      <w:pPr>
        <w:pStyle w:val="25"/>
        <w:spacing w:line="480" w:lineRule="atLeast"/>
        <w:ind w:firstLine="480"/>
        <w:jc w:val="both"/>
        <w:textAlignment w:val="baseline"/>
      </w:pPr>
      <w:r>
        <w:rPr>
          <w:rFonts w:hint="eastAsia"/>
          <w:shd w:val="clear" w:color="auto" w:fill="FFFFFF"/>
        </w:rPr>
        <w:t>地点：广州市政采购中心采购综合管理服务平台网站（https://gzzfcg.gcycloud.cn/site/gzsaas/index.html）</w:t>
      </w:r>
    </w:p>
    <w:p>
      <w:pPr>
        <w:pStyle w:val="25"/>
        <w:spacing w:line="480" w:lineRule="atLeast"/>
        <w:ind w:firstLine="480"/>
        <w:jc w:val="both"/>
        <w:textAlignment w:val="baseline"/>
      </w:pPr>
      <w:r>
        <w:rPr>
          <w:rFonts w:hint="eastAsia"/>
          <w:shd w:val="clear" w:color="auto" w:fill="FFFFFF"/>
        </w:rPr>
        <w:t>方式：在线获取</w:t>
      </w:r>
    </w:p>
    <w:p>
      <w:pPr>
        <w:pStyle w:val="25"/>
        <w:spacing w:line="480" w:lineRule="atLeast"/>
        <w:ind w:firstLine="480"/>
        <w:jc w:val="both"/>
        <w:textAlignment w:val="baseline"/>
      </w:pPr>
      <w:r>
        <w:rPr>
          <w:rFonts w:hint="eastAsia"/>
          <w:shd w:val="clear" w:color="auto" w:fill="FFFFFF"/>
        </w:rPr>
        <w:t>售价：免费获取</w:t>
      </w:r>
    </w:p>
    <w:p>
      <w:pPr>
        <w:pStyle w:val="6"/>
        <w:widowControl/>
        <w:spacing w:before="150" w:beforeAutospacing="0" w:afterAutospacing="0" w:line="750" w:lineRule="atLeast"/>
        <w:textAlignment w:val="baseline"/>
        <w:rPr>
          <w:rFonts w:cs="宋体"/>
          <w:b w:val="0"/>
          <w:bCs w:val="0"/>
        </w:rPr>
      </w:pPr>
      <w:r>
        <w:rPr>
          <w:rStyle w:val="33"/>
          <w:rFonts w:cs="宋体"/>
          <w:b/>
          <w:bCs/>
          <w:shd w:val="clear" w:color="auto" w:fill="FFFFFF"/>
        </w:rPr>
        <w:t>四、提交投标文件截止时间、开标时间和地点</w:t>
      </w:r>
    </w:p>
    <w:p>
      <w:pPr>
        <w:pStyle w:val="25"/>
        <w:spacing w:line="480" w:lineRule="atLeast"/>
        <w:ind w:firstLine="480"/>
        <w:jc w:val="both"/>
        <w:textAlignment w:val="baseline"/>
      </w:pPr>
      <w:bookmarkStart w:id="10" w:name="_Hlk203982457"/>
      <w:r>
        <w:t>提交</w:t>
      </w:r>
      <w:r>
        <w:rPr>
          <w:rFonts w:hint="eastAsia"/>
        </w:rPr>
        <w:t>电子</w:t>
      </w:r>
      <w:r>
        <w:t>投标文件截止时间和开标时间：详见招标公告及其变更公告（如有）</w:t>
      </w:r>
    </w:p>
    <w:bookmarkEnd w:id="10"/>
    <w:p>
      <w:pPr>
        <w:pStyle w:val="25"/>
        <w:spacing w:line="480" w:lineRule="atLeast"/>
        <w:ind w:firstLine="480"/>
        <w:jc w:val="both"/>
        <w:textAlignment w:val="baseline"/>
      </w:pPr>
      <w:bookmarkStart w:id="11" w:name="_Hlk203982473"/>
      <w:r>
        <w:t>（自招标文件开始发出之日起至</w:t>
      </w:r>
      <w:r>
        <w:rPr>
          <w:rFonts w:hint="eastAsia"/>
        </w:rPr>
        <w:t>投标人</w:t>
      </w:r>
      <w:r>
        <w:t>提交投标文件截止之日止，不得少于20日）</w:t>
      </w:r>
    </w:p>
    <w:bookmarkEnd w:id="11"/>
    <w:p>
      <w:pPr>
        <w:pStyle w:val="25"/>
        <w:spacing w:line="480" w:lineRule="atLeast"/>
        <w:ind w:firstLine="480"/>
        <w:jc w:val="both"/>
        <w:textAlignment w:val="baseline"/>
        <w:rPr>
          <w:shd w:val="clear" w:color="auto" w:fill="FFFFFF"/>
        </w:rPr>
      </w:pPr>
      <w:r>
        <w:rPr>
          <w:rFonts w:hint="eastAsia"/>
          <w:shd w:val="clear" w:color="auto" w:fill="FFFFFF"/>
        </w:rPr>
        <w:t>地点：广州市政采购中心采购综合管理服务平台网站（https://gzzfcg.gcycloud.cn/site/gzsaas/index.html）</w:t>
      </w:r>
    </w:p>
    <w:p>
      <w:pPr>
        <w:pStyle w:val="6"/>
        <w:widowControl/>
        <w:spacing w:before="150" w:beforeAutospacing="0" w:afterAutospacing="0" w:line="750" w:lineRule="atLeast"/>
        <w:textAlignment w:val="baseline"/>
        <w:rPr>
          <w:rFonts w:cs="宋体"/>
          <w:b w:val="0"/>
          <w:bCs w:val="0"/>
        </w:rPr>
      </w:pPr>
      <w:r>
        <w:rPr>
          <w:rStyle w:val="33"/>
          <w:rFonts w:cs="宋体"/>
          <w:b/>
          <w:bCs/>
          <w:shd w:val="clear" w:color="auto" w:fill="FFFFFF"/>
        </w:rPr>
        <w:t>五、公告期限</w:t>
      </w:r>
    </w:p>
    <w:p>
      <w:pPr>
        <w:pStyle w:val="25"/>
        <w:spacing w:line="480" w:lineRule="atLeast"/>
        <w:ind w:firstLine="480"/>
        <w:jc w:val="both"/>
        <w:textAlignment w:val="baseline"/>
      </w:pPr>
      <w:r>
        <w:rPr>
          <w:rFonts w:hint="eastAsia"/>
          <w:shd w:val="clear" w:color="auto" w:fill="FFFFFF"/>
        </w:rPr>
        <w:t>自本公告发布之日起5个工作日。</w:t>
      </w:r>
    </w:p>
    <w:p>
      <w:pPr>
        <w:pStyle w:val="6"/>
        <w:widowControl/>
        <w:spacing w:before="150" w:beforeAutospacing="0" w:afterAutospacing="0" w:line="750" w:lineRule="atLeast"/>
        <w:textAlignment w:val="baseline"/>
        <w:rPr>
          <w:rFonts w:cs="宋体"/>
          <w:b w:val="0"/>
          <w:bCs w:val="0"/>
        </w:rPr>
      </w:pPr>
      <w:r>
        <w:rPr>
          <w:rStyle w:val="33"/>
          <w:rFonts w:cs="宋体"/>
          <w:b/>
          <w:bCs/>
          <w:shd w:val="clear" w:color="auto" w:fill="FFFFFF"/>
        </w:rPr>
        <w:t>六、其他补充事宜</w:t>
      </w:r>
    </w:p>
    <w:p>
      <w:pPr>
        <w:pStyle w:val="25"/>
        <w:spacing w:line="480" w:lineRule="atLeast"/>
        <w:ind w:firstLine="480"/>
        <w:jc w:val="both"/>
        <w:textAlignment w:val="baseline"/>
      </w:pPr>
      <w:r>
        <w:rPr>
          <w:rFonts w:hint="eastAsia"/>
          <w:shd w:val="clear" w:color="auto" w:fill="FFFFFF"/>
        </w:rPr>
        <w:t>如遇平台操作问题或需技术支持，可通过综合管理服务平台服务电话获取支持，试运行期间技术支持电话: 19124618279。</w:t>
      </w:r>
    </w:p>
    <w:p>
      <w:pPr>
        <w:pStyle w:val="25"/>
        <w:spacing w:line="480" w:lineRule="atLeast"/>
        <w:ind w:firstLine="480"/>
        <w:jc w:val="both"/>
        <w:textAlignment w:val="baseline"/>
      </w:pPr>
      <w:bookmarkStart w:id="12" w:name="_Hlk203982507"/>
      <w:r>
        <w:rPr>
          <w:rFonts w:hint="eastAsia"/>
          <w:shd w:val="clear" w:color="auto" w:fill="FFFFFF"/>
        </w:rPr>
        <w:t>CA数字证书及电子签章：GDCA:95105813，NETCA:020-89524338，CFCA:400-856-3882。</w:t>
      </w:r>
    </w:p>
    <w:bookmarkEnd w:id="12"/>
    <w:p>
      <w:pPr>
        <w:pStyle w:val="6"/>
        <w:widowControl/>
        <w:spacing w:before="150" w:beforeAutospacing="0" w:afterAutospacing="0" w:line="750" w:lineRule="atLeast"/>
        <w:textAlignment w:val="baseline"/>
        <w:rPr>
          <w:rFonts w:cs="宋体"/>
          <w:b w:val="0"/>
          <w:bCs w:val="0"/>
        </w:rPr>
      </w:pPr>
      <w:r>
        <w:rPr>
          <w:rStyle w:val="33"/>
          <w:rFonts w:cs="宋体"/>
          <w:b/>
          <w:bCs/>
          <w:shd w:val="clear" w:color="auto" w:fill="FFFFFF"/>
        </w:rPr>
        <w:t>七、对本次招标提出询问，请按以下方式联系。</w:t>
      </w:r>
    </w:p>
    <w:p>
      <w:pPr>
        <w:pStyle w:val="8"/>
        <w:widowControl/>
        <w:spacing w:beforeAutospacing="0" w:afterAutospacing="0" w:line="360" w:lineRule="auto"/>
        <w:textAlignment w:val="baseline"/>
        <w:rPr>
          <w:b w:val="0"/>
          <w:bCs w:val="0"/>
          <w:color w:val="000000" w:themeColor="text1"/>
          <w:sz w:val="24"/>
          <w:szCs w:val="24"/>
          <w14:textFill>
            <w14:solidFill>
              <w14:schemeClr w14:val="tx1"/>
            </w14:solidFill>
          </w14:textFill>
        </w:rPr>
      </w:pPr>
      <w:r>
        <w:rPr>
          <w:b w:val="0"/>
          <w:bCs w:val="0"/>
          <w:color w:val="000000" w:themeColor="text1"/>
          <w:sz w:val="24"/>
          <w:szCs w:val="24"/>
          <w:shd w:val="clear" w:color="auto" w:fill="FFFFFF"/>
          <w14:textFill>
            <w14:solidFill>
              <w14:schemeClr w14:val="tx1"/>
            </w14:solidFill>
          </w14:textFill>
        </w:rPr>
        <w:t>1.采购人信息</w:t>
      </w:r>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名称：广州海关技术中心</w:t>
      </w:r>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地址：</w:t>
      </w:r>
      <w:bookmarkStart w:id="13" w:name="_Hlk202277077"/>
      <w:r>
        <w:rPr>
          <w:rFonts w:hint="eastAsia"/>
          <w:color w:val="000000" w:themeColor="text1"/>
          <w:shd w:val="clear" w:color="auto" w:fill="FFFFFF"/>
          <w14:textFill>
            <w14:solidFill>
              <w14:schemeClr w14:val="tx1"/>
            </w14:solidFill>
          </w14:textFill>
        </w:rPr>
        <w:t>广东省广州市天河区花城大道66号</w:t>
      </w:r>
      <w:bookmarkEnd w:id="13"/>
    </w:p>
    <w:p>
      <w:pPr>
        <w:pStyle w:val="25"/>
        <w:ind w:firstLine="480"/>
        <w:jc w:val="both"/>
        <w:textAlignment w:val="baseline"/>
        <w:rPr>
          <w:color w:val="000000" w:themeColor="text1"/>
          <w:shd w:val="clear" w:color="auto" w:fill="FFFFFF"/>
          <w14:textFill>
            <w14:solidFill>
              <w14:schemeClr w14:val="tx1"/>
            </w14:solidFill>
          </w14:textFill>
        </w:rPr>
      </w:pPr>
      <w:bookmarkStart w:id="14" w:name="_Hlk203982610"/>
      <w:r>
        <w:rPr>
          <w:rFonts w:hint="eastAsia"/>
          <w:color w:val="000000" w:themeColor="text1"/>
          <w:shd w:val="clear" w:color="auto" w:fill="FFFFFF"/>
          <w14:textFill>
            <w14:solidFill>
              <w14:schemeClr w14:val="tx1"/>
            </w14:solidFill>
          </w14:textFill>
        </w:rPr>
        <w:t>项目联系人：</w:t>
      </w:r>
      <w:bookmarkEnd w:id="14"/>
      <w:r>
        <w:rPr>
          <w:rFonts w:hint="eastAsia"/>
          <w:color w:val="000000" w:themeColor="text1"/>
          <w:shd w:val="clear" w:color="auto" w:fill="FFFFFF"/>
          <w14:textFill>
            <w14:solidFill>
              <w14:schemeClr w14:val="tx1"/>
            </w14:solidFill>
          </w14:textFill>
        </w:rPr>
        <w:t>张生、刘小姐</w:t>
      </w:r>
    </w:p>
    <w:p>
      <w:pPr>
        <w:pStyle w:val="25"/>
        <w:ind w:firstLine="480"/>
        <w:jc w:val="both"/>
        <w:textAlignment w:val="baseline"/>
        <w:rPr>
          <w:color w:val="000000" w:themeColor="text1"/>
          <w14:textFill>
            <w14:solidFill>
              <w14:schemeClr w14:val="tx1"/>
            </w14:solidFill>
          </w14:textFill>
        </w:rPr>
      </w:pPr>
      <w:bookmarkStart w:id="15" w:name="_Hlk203982620"/>
      <w:r>
        <w:rPr>
          <w:rFonts w:hint="eastAsia"/>
          <w:color w:val="000000" w:themeColor="text1"/>
          <w:shd w:val="clear" w:color="auto" w:fill="FFFFFF"/>
          <w14:textFill>
            <w14:solidFill>
              <w14:schemeClr w14:val="tx1"/>
            </w14:solidFill>
          </w14:textFill>
        </w:rPr>
        <w:t>电话：</w:t>
      </w:r>
      <w:bookmarkEnd w:id="15"/>
      <w:r>
        <w:rPr>
          <w:rFonts w:hint="eastAsia"/>
          <w:color w:val="000000" w:themeColor="text1"/>
          <w:shd w:val="clear" w:color="auto" w:fill="FFFFFF"/>
          <w14:textFill>
            <w14:solidFill>
              <w14:schemeClr w14:val="tx1"/>
            </w14:solidFill>
          </w14:textFill>
        </w:rPr>
        <w:t>02</w:t>
      </w:r>
      <w:r>
        <w:rPr>
          <w:color w:val="000000" w:themeColor="text1"/>
          <w:shd w:val="clear" w:color="auto" w:fill="FFFFFF"/>
          <w14:textFill>
            <w14:solidFill>
              <w14:schemeClr w14:val="tx1"/>
            </w14:solidFill>
          </w14:textFill>
        </w:rPr>
        <w:t>0-38291411</w:t>
      </w:r>
      <w:r>
        <w:rPr>
          <w:rFonts w:hint="eastAsia"/>
          <w:color w:val="000000" w:themeColor="text1"/>
          <w:shd w:val="clear" w:color="auto" w:fill="FFFFFF"/>
          <w14:textFill>
            <w14:solidFill>
              <w14:schemeClr w14:val="tx1"/>
            </w14:solidFill>
          </w14:textFill>
        </w:rPr>
        <w:t>，3</w:t>
      </w:r>
      <w:r>
        <w:rPr>
          <w:color w:val="000000" w:themeColor="text1"/>
          <w:shd w:val="clear" w:color="auto" w:fill="FFFFFF"/>
          <w14:textFill>
            <w14:solidFill>
              <w14:schemeClr w14:val="tx1"/>
            </w14:solidFill>
          </w14:textFill>
        </w:rPr>
        <w:t>8290595</w:t>
      </w:r>
    </w:p>
    <w:p>
      <w:pPr>
        <w:pStyle w:val="8"/>
        <w:widowControl/>
        <w:spacing w:beforeAutospacing="0" w:afterAutospacing="0" w:line="360" w:lineRule="auto"/>
        <w:textAlignment w:val="baseline"/>
        <w:rPr>
          <w:b w:val="0"/>
          <w:bCs w:val="0"/>
          <w:color w:val="000000" w:themeColor="text1"/>
          <w:sz w:val="24"/>
          <w:szCs w:val="24"/>
          <w14:textFill>
            <w14:solidFill>
              <w14:schemeClr w14:val="tx1"/>
            </w14:solidFill>
          </w14:textFill>
        </w:rPr>
      </w:pPr>
      <w:r>
        <w:rPr>
          <w:b w:val="0"/>
          <w:bCs w:val="0"/>
          <w:color w:val="000000" w:themeColor="text1"/>
          <w:sz w:val="24"/>
          <w:szCs w:val="24"/>
          <w:shd w:val="clear" w:color="auto" w:fill="FFFFFF"/>
          <w14:textFill>
            <w14:solidFill>
              <w14:schemeClr w14:val="tx1"/>
            </w14:solidFill>
          </w14:textFill>
        </w:rPr>
        <w:t>2.采购代理机构信息</w:t>
      </w:r>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名称：广州市政府采购中心</w:t>
      </w:r>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地址：广东省广州市天润路447号</w:t>
      </w:r>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电话：87150286、87150212</w:t>
      </w:r>
    </w:p>
    <w:p>
      <w:pPr>
        <w:pStyle w:val="8"/>
        <w:widowControl/>
        <w:spacing w:beforeAutospacing="0" w:afterAutospacing="0" w:line="360" w:lineRule="auto"/>
        <w:textAlignment w:val="baseline"/>
        <w:rPr>
          <w:b w:val="0"/>
          <w:bCs w:val="0"/>
          <w:color w:val="000000" w:themeColor="text1"/>
          <w:sz w:val="24"/>
          <w:szCs w:val="24"/>
          <w14:textFill>
            <w14:solidFill>
              <w14:schemeClr w14:val="tx1"/>
            </w14:solidFill>
          </w14:textFill>
        </w:rPr>
      </w:pPr>
      <w:r>
        <w:rPr>
          <w:b w:val="0"/>
          <w:bCs w:val="0"/>
          <w:color w:val="000000" w:themeColor="text1"/>
          <w:sz w:val="24"/>
          <w:szCs w:val="24"/>
          <w:shd w:val="clear" w:color="auto" w:fill="FFFFFF"/>
          <w14:textFill>
            <w14:solidFill>
              <w14:schemeClr w14:val="tx1"/>
            </w14:solidFill>
          </w14:textFill>
        </w:rPr>
        <w:t>3.</w:t>
      </w:r>
      <w:bookmarkStart w:id="16" w:name="_Hlk203982652"/>
      <w:r>
        <w:rPr>
          <w:b w:val="0"/>
          <w:bCs w:val="0"/>
          <w:color w:val="000000" w:themeColor="text1"/>
          <w:sz w:val="24"/>
          <w:szCs w:val="24"/>
          <w:shd w:val="clear" w:color="auto" w:fill="FFFFFF"/>
          <w14:textFill>
            <w14:solidFill>
              <w14:schemeClr w14:val="tx1"/>
            </w14:solidFill>
          </w14:textFill>
        </w:rPr>
        <w:t>项目联系方式</w:t>
      </w:r>
      <w:bookmarkEnd w:id="16"/>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项目联系人：卢婧茹（采购文件咨询）、林欣（质疑受理）</w:t>
      </w:r>
    </w:p>
    <w:p>
      <w:pPr>
        <w:pStyle w:val="25"/>
        <w:ind w:firstLine="480"/>
        <w:jc w:val="both"/>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电话：87150286、87150212</w:t>
      </w:r>
    </w:p>
    <w:p>
      <w:pPr>
        <w:pStyle w:val="25"/>
        <w:ind w:firstLine="480"/>
        <w:jc w:val="center"/>
        <w:textAlignment w:val="baseline"/>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                                                  广州市政府采购中心</w:t>
      </w:r>
    </w:p>
    <w:p>
      <w:pPr>
        <w:rPr>
          <w:rStyle w:val="33"/>
          <w:b w:val="0"/>
          <w:bCs w:val="0"/>
          <w:sz w:val="30"/>
          <w:szCs w:val="30"/>
        </w:rPr>
      </w:pPr>
      <w:r>
        <w:rPr>
          <w:rFonts w:hint="eastAsia"/>
          <w:color w:val="000000" w:themeColor="text1"/>
          <w:shd w:val="clear" w:color="auto" w:fill="FFFFFF"/>
          <w14:textFill>
            <w14:solidFill>
              <w14:schemeClr w14:val="tx1"/>
            </w14:solidFill>
          </w14:textFill>
        </w:rPr>
        <w:t xml:space="preserve">                                                           2026年8月28日</w:t>
      </w:r>
      <w:r>
        <w:rPr>
          <w:rStyle w:val="33"/>
          <w:rFonts w:hint="eastAsia"/>
          <w:b w:val="0"/>
          <w:bCs w:val="0"/>
          <w:sz w:val="30"/>
          <w:szCs w:val="30"/>
        </w:rPr>
        <w:br w:type="page"/>
      </w:r>
    </w:p>
    <w:p>
      <w:pPr>
        <w:pStyle w:val="3"/>
        <w:spacing w:line="360" w:lineRule="atLeast"/>
        <w:jc w:val="center"/>
        <w:rPr>
          <w:b w:val="0"/>
          <w:bCs w:val="0"/>
          <w:color w:val="000000" w:themeColor="text1"/>
          <w14:textFill>
            <w14:solidFill>
              <w14:schemeClr w14:val="tx1"/>
            </w14:solidFill>
          </w14:textFill>
        </w:rPr>
      </w:pPr>
      <w:r>
        <w:rPr>
          <w:rStyle w:val="33"/>
          <w:rFonts w:hint="eastAsia"/>
          <w:b/>
          <w:bCs/>
          <w:color w:val="000000" w:themeColor="text1"/>
          <w:sz w:val="30"/>
          <w:szCs w:val="30"/>
          <w14:textFill>
            <w14:solidFill>
              <w14:schemeClr w14:val="tx1"/>
            </w14:solidFill>
          </w14:textFill>
        </w:rPr>
        <w:t>第一章</w:t>
      </w:r>
      <w:r>
        <w:rPr>
          <w:rStyle w:val="33"/>
          <w:b/>
          <w:bCs/>
          <w:color w:val="000000" w:themeColor="text1"/>
          <w:sz w:val="30"/>
          <w:szCs w:val="30"/>
          <w14:textFill>
            <w14:solidFill>
              <w14:schemeClr w14:val="tx1"/>
            </w14:solidFill>
          </w14:textFill>
        </w:rPr>
        <w:t xml:space="preserve">  </w:t>
      </w:r>
      <w:r>
        <w:rPr>
          <w:rStyle w:val="33"/>
          <w:rFonts w:hint="eastAsia"/>
          <w:b/>
          <w:bCs/>
          <w:color w:val="000000" w:themeColor="text1"/>
          <w:sz w:val="30"/>
          <w:szCs w:val="30"/>
          <w14:textFill>
            <w14:solidFill>
              <w14:schemeClr w14:val="tx1"/>
            </w14:solidFill>
          </w14:textFill>
        </w:rPr>
        <w:t>投标人须知</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一、名称解释</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（一）采购代理机构：本项目是指广州市政府采购中心，负责整个采购活动的组织，依法负责编制和发布招标文件，对招标文件拥有最终的解释权，不以任何身份出任评标委员会成员。</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（二）采购人：本项目是指广州海关技术中心，是采购活动当事人之一，负责项目的整体规划、技术方案可行性设计论证与实施，作为合同采购方（用户）的主体承担质疑回复、履行合同、验收与评价等义务。</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（三）投标人：是指在广州市政府采购中心采购综合管理服务平台网站完成本项目投标登记并提交电子投标文件的供应商。</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（四）评标委员会：是指根据《中华人民共和国政府采购法》等法律法规规定，由采购人代表和有关专家组成以确定中标人或者推荐中标候选人的临时组织。</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（五）中标人：是指经评标委员会评审确定的对招标文件做出实质性响应，经采购人按照规定在评标委员会推荐的中标候选人中确定的或评标委员会受采购人委托直接确认的投标人。</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（六）招标文件：是指包括招标公告和招标文件及其补充、变更和澄清等一系列文件。</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（七）电子投标文件：是指使用市政府采购中心提供的投标文件管理软件制作的投标文件。</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（八）电子签名和电子签章：是指广东省内依法设立的电子认证服务机构签发的电子签名认证证书和电子签章，</w:t>
      </w:r>
      <w:bookmarkStart w:id="17" w:name="_Hlk203982901"/>
      <w:r>
        <w:rPr>
          <w:rFonts w:hint="eastAsia"/>
          <w:color w:val="000000" w:themeColor="text1"/>
          <w:shd w:val="clear" w:color="auto" w:fill="FFFFFF"/>
          <w14:textFill>
            <w14:solidFill>
              <w14:schemeClr w14:val="tx1"/>
            </w14:solidFill>
          </w14:textFill>
        </w:rPr>
        <w:t>供应商应当到上述服务机构办理。</w:t>
      </w:r>
      <w:bookmarkEnd w:id="17"/>
      <w:r>
        <w:rPr>
          <w:rFonts w:hint="eastAsia"/>
          <w:color w:val="000000" w:themeColor="text1"/>
          <w:shd w:val="clear" w:color="auto" w:fill="FFFFFF"/>
          <w14:textFill>
            <w14:solidFill>
              <w14:schemeClr w14:val="tx1"/>
            </w14:solidFill>
          </w14:textFill>
        </w:rPr>
        <w:t>电子签名及电子签章与手写签名或者盖章具有同等的法律效力。</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（九）日期、天数、时间：未有特别说明时，均为公历日（天）及北京时间。</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（十）采购信息发布网站：</w:t>
      </w:r>
    </w:p>
    <w:p>
      <w:pPr>
        <w:pStyle w:val="25"/>
        <w:ind w:firstLine="480"/>
        <w:rPr>
          <w:color w:val="000000" w:themeColor="text1"/>
          <w:shd w:val="clear" w:color="auto" w:fill="FFFFFF"/>
          <w14:textFill>
            <w14:solidFill>
              <w14:schemeClr w14:val="tx1"/>
            </w14:solidFill>
          </w14:textFill>
        </w:rPr>
      </w:pPr>
      <w:bookmarkStart w:id="18" w:name="_Hlk203982958"/>
      <w:r>
        <w:rPr>
          <w:rFonts w:hint="eastAsia"/>
          <w:color w:val="000000" w:themeColor="text1"/>
          <w:shd w:val="clear" w:color="auto" w:fill="FFFFFF"/>
          <w14:textFill>
            <w14:solidFill>
              <w14:schemeClr w14:val="tx1"/>
            </w14:solidFill>
          </w14:textFill>
        </w:rPr>
        <w:t>中国政府采购网（www.ccgp.gov.cn）和</w:t>
      </w:r>
      <w:bookmarkEnd w:id="18"/>
      <w:r>
        <w:rPr>
          <w:rFonts w:hint="eastAsia"/>
          <w:color w:val="000000" w:themeColor="text1"/>
          <w:shd w:val="clear" w:color="auto" w:fill="FFFFFF"/>
          <w14:textFill>
            <w14:solidFill>
              <w14:schemeClr w14:val="tx1"/>
            </w14:solidFill>
          </w14:textFill>
        </w:rPr>
        <w:t xml:space="preserve">广州市政采中心采购综合管理服务平台网站（https://gzzfcg.gcycloud.cn/site/gzsaas/index.html）。 </w:t>
      </w:r>
    </w:p>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二、一般要求</w:t>
      </w:r>
    </w:p>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（一）投标的费用</w:t>
      </w:r>
    </w:p>
    <w:p>
      <w:pPr>
        <w:pStyle w:val="25"/>
        <w:ind w:firstLine="480"/>
        <w:rPr>
          <w:shd w:val="clear" w:color="auto" w:fill="FFFFFF"/>
        </w:rPr>
      </w:pPr>
      <w:r>
        <w:rPr>
          <w:rFonts w:hint="eastAsia"/>
          <w:shd w:val="clear" w:color="auto" w:fill="FFFFFF"/>
        </w:rPr>
        <w:t>1.不论投标的结果如何，投标人应承担所有与编写和提交投标文件有关的费用。</w:t>
      </w:r>
    </w:p>
    <w:p>
      <w:pPr>
        <w:pStyle w:val="25"/>
        <w:ind w:firstLine="480"/>
        <w:rPr>
          <w:shd w:val="clear" w:color="auto" w:fill="FFFFFF"/>
        </w:rPr>
      </w:pPr>
      <w:r>
        <w:rPr>
          <w:rFonts w:hint="eastAsia"/>
          <w:shd w:val="clear" w:color="auto" w:fill="FFFFFF"/>
        </w:rPr>
        <w:t>2.采购人委托中标人支付公共资源交易服务费，其报价中须包含公共资源交易服务费。由中标人支付公共资源交易服务费后，采购人、中标人方可下载打印电子《中标通知书》。</w:t>
      </w:r>
    </w:p>
    <w:p>
      <w:pPr>
        <w:pStyle w:val="25"/>
        <w:ind w:firstLine="480"/>
        <w:rPr>
          <w:shd w:val="clear" w:color="auto" w:fill="FFFFFF"/>
        </w:rPr>
      </w:pPr>
      <w:r>
        <w:rPr>
          <w:rFonts w:hint="eastAsia"/>
          <w:shd w:val="clear" w:color="auto" w:fill="FFFFFF"/>
        </w:rPr>
        <w:t>3.公共资源交易服务费收费标准</w:t>
      </w:r>
    </w:p>
    <w:p>
      <w:pPr>
        <w:pStyle w:val="25"/>
        <w:ind w:firstLine="480"/>
        <w:rPr>
          <w:shd w:val="clear" w:color="auto" w:fill="FFFFFF"/>
        </w:rPr>
      </w:pPr>
      <w:r>
        <w:rPr>
          <w:rFonts w:hint="eastAsia"/>
          <w:shd w:val="clear" w:color="auto" w:fill="FFFFFF"/>
        </w:rPr>
        <w:t>本项目为未纳入集中采购目录的项目。</w:t>
      </w:r>
    </w:p>
    <w:p>
      <w:pPr>
        <w:pStyle w:val="25"/>
        <w:ind w:firstLine="480"/>
        <w:rPr>
          <w:shd w:val="clear" w:color="auto" w:fill="FFFFFF"/>
        </w:rPr>
      </w:pPr>
      <w:r>
        <w:rPr>
          <w:rFonts w:hint="eastAsia"/>
          <w:shd w:val="clear" w:color="auto" w:fill="FFFFFF"/>
        </w:rPr>
        <w:t>公共资源交易服务费按《广州市政府采购中心关于代理采购类项目公共资源交易服务费收费标准的通知》（https://ywtb.gzggzy.cn/tzgg/007001/007001002/20260509/0070010021066289.html）执行，本项目的公共资源交易服务费由中标人向广州市政府采购中心支付。</w:t>
      </w:r>
    </w:p>
    <w:p>
      <w:pPr>
        <w:pStyle w:val="25"/>
        <w:spacing w:before="75" w:after="75" w:line="432" w:lineRule="auto"/>
        <w:ind w:firstLine="420"/>
        <w:rPr>
          <w:shd w:val="clear" w:color="auto" w:fill="FFFFFF"/>
        </w:rPr>
      </w:pPr>
      <w:r>
        <w:rPr>
          <w:rFonts w:hint="eastAsia"/>
          <w:shd w:val="clear" w:color="auto" w:fill="FFFFFF"/>
        </w:rPr>
        <w:t>4. 公共资源交易服务费支付方式</w:t>
      </w:r>
    </w:p>
    <w:p>
      <w:pPr>
        <w:spacing w:line="360" w:lineRule="auto"/>
        <w:ind w:firstLine="573" w:firstLineChars="239"/>
        <w:rPr>
          <w:rFonts w:ascii="宋体" w:cs="Times New Roman"/>
          <w:szCs w:val="24"/>
        </w:rPr>
      </w:pPr>
      <w:r>
        <w:rPr>
          <w:rFonts w:hint="eastAsia" w:ascii="宋体" w:cs="Times New Roman"/>
          <w:szCs w:val="24"/>
        </w:rPr>
        <w:t>不论投标的结果如何，投标人应承担所有与编写和提交投标文件有关的费用。中标人可选用以下两种方式支付公共资源交易服务费：（1）现场支付：中标人携现金前往天润路333号广州交易集团西侧建设银行天润路支行交款，交款后前往天润路333号广州交易集团一楼大厅44号财务专窗办理支付确认。（2）汇款支付：中标人将公共资源交易服务费转账（汇款）至公共资源交易服务费结算账户（如下所示）后，由财务专窗人员在第二个工作日进行核对并确认支付，或由中标人凭转账（汇款）凭证前往天润路333号广州交易集团一楼大厅44号财务专窗办理支付确认。公共资源交易服务费结算账户信息：收款单位：广州市政府采购中心，开户银行：中国建设银行广州天润路支行，账号：44050158340409202288（注：使用汇款支付过程中，请在摘要或用途中注明项目编号交易服务费，例如：CZ2025-0001交易服务费。）。（3）公共资源交易服务费以采购额按差额定率累进法计算。详见</w:t>
      </w:r>
      <w:r>
        <w:rPr>
          <w:rFonts w:hint="eastAsia" w:ascii="宋体" w:cs="宋体"/>
          <w:kern w:val="0"/>
          <w:szCs w:val="24"/>
          <w:shd w:val="clear" w:color="auto" w:fill="FFFFFF"/>
        </w:rPr>
        <w:t>《广州市政府采购中心关于代理采购类项目公共资源交易服务费收费标准的通知》（https://ywtb.gzggzy.cn/tzgg/007001/007001002/20260509/0070010021066289.html）</w:t>
      </w:r>
      <w:r>
        <w:rPr>
          <w:rFonts w:hint="eastAsia" w:ascii="宋体" w:cs="Times New Roman"/>
          <w:szCs w:val="24"/>
        </w:rPr>
        <w:t>（注：本项目为未纳入集中采购目录的项目，服务费为11100元。）</w:t>
      </w:r>
    </w:p>
    <w:p>
      <w:pPr>
        <w:pStyle w:val="25"/>
        <w:ind w:firstLine="48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（二）招标文件的澄清和修改</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采购代理机构对招标文件进行必要的澄清或者修改的，在采购信息发布网站上发布更正公告。澄清或者修改的内容可能影响投标文件编制的，更正公告在投标截止时间至少15日前发出；不足15日的，采购代理机构顺延提交投标文件截止时间。</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2.更正公告为招标文件的组成部分，一经在采购代理机构网站发布，系统将自动通过电子邮件方式发送给已在采购代理机构网站会员专区进行项目投标登记的供应商，视同已通知所有招标文件的收受人。</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3.如更正公告有重新发布电子招标文件的，供应商应下载最新发布的电子招标文件制作投标文件。</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25"/>
        <w:ind w:firstLine="480"/>
        <w:rPr>
          <w:color w:val="000000" w:themeColor="text1"/>
          <w:shd w:val="clear" w:color="auto" w:fill="FFFFFF"/>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（三）关于联合体投标</w:t>
      </w:r>
      <w:bookmarkStart w:id="19" w:name="_Hlk203983979"/>
      <w:r>
        <w:rPr>
          <w:rStyle w:val="33"/>
          <w:rFonts w:hint="eastAsia" w:ascii="Times New Roman" w:hAnsi="Times New Roman" w:cs="Times New Roman"/>
          <w:color w:val="000000" w:themeColor="text1"/>
          <w:shd w:val="clear" w:color="auto" w:fill="FFFFFF"/>
          <w14:textFill>
            <w14:solidFill>
              <w14:schemeClr w14:val="tx1"/>
            </w14:solidFill>
          </w14:textFill>
        </w:rPr>
        <w:t>、关联企业</w:t>
      </w:r>
      <w:bookmarkEnd w:id="19"/>
    </w:p>
    <w:p>
      <w:pPr>
        <w:pStyle w:val="25"/>
        <w:spacing w:line="480" w:lineRule="auto"/>
        <w:ind w:firstLine="480"/>
        <w:rPr>
          <w:color w:val="000000" w:themeColor="text1"/>
          <w:shd w:val="clear" w:color="auto" w:fill="FFFFFF"/>
          <w14:textFill>
            <w14:solidFill>
              <w14:schemeClr w14:val="tx1"/>
            </w14:solidFill>
          </w14:textFill>
        </w:rPr>
      </w:pPr>
      <w:bookmarkStart w:id="20" w:name="_Hlk207100408"/>
      <w:r>
        <w:rPr>
          <w:rFonts w:hint="eastAsia"/>
          <w:color w:val="000000" w:themeColor="text1"/>
          <w:shd w:val="clear" w:color="auto" w:fill="FFFFFF"/>
          <w14:textFill>
            <w14:solidFill>
              <w14:schemeClr w14:val="tx1"/>
            </w14:solidFill>
          </w14:textFill>
        </w:rPr>
        <w:t>1.</w:t>
      </w:r>
      <w:r>
        <w:rPr>
          <w:rFonts w:hint="eastAsia"/>
        </w:rPr>
        <w:t xml:space="preserve"> </w:t>
      </w:r>
      <w:r>
        <w:rPr>
          <w:rFonts w:hint="eastAsia"/>
          <w:color w:val="000000" w:themeColor="text1"/>
          <w:shd w:val="clear" w:color="auto" w:fill="FFFFFF"/>
          <w14:textFill>
            <w14:solidFill>
              <w14:schemeClr w14:val="tx1"/>
            </w14:solidFill>
          </w14:textFill>
        </w:rPr>
        <w:t>本项目不接受联合体投标。</w:t>
      </w:r>
    </w:p>
    <w:bookmarkEnd w:id="20"/>
    <w:p>
      <w:pPr>
        <w:pStyle w:val="25"/>
        <w:ind w:firstLine="480"/>
        <w:rPr>
          <w:color w:val="000000" w:themeColor="text1"/>
          <w:shd w:val="clear" w:color="auto" w:fill="FFFFFF"/>
          <w14:textFill>
            <w14:solidFill>
              <w14:schemeClr w14:val="tx1"/>
            </w14:solidFill>
          </w14:textFill>
        </w:rPr>
      </w:pPr>
      <w:bookmarkStart w:id="21" w:name="_Hlk207100622"/>
      <w:r>
        <w:rPr>
          <w:rFonts w:hint="eastAsia"/>
          <w:color w:val="000000" w:themeColor="text1"/>
          <w:shd w:val="clear" w:color="auto" w:fill="FFFFFF"/>
          <w14:textFill>
            <w14:solidFill>
              <w14:schemeClr w14:val="tx1"/>
            </w14:solidFill>
          </w14:textFill>
        </w:rPr>
        <w:t>2. 关联企业投标说明：</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bookmarkEnd w:id="21"/>
    <w:p>
      <w:pPr>
        <w:pStyle w:val="25"/>
        <w:ind w:firstLine="480"/>
        <w:rPr>
          <w:color w:val="000000" w:themeColor="text1"/>
          <w:shd w:val="clear" w:color="auto" w:fill="FFFFFF"/>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（四）关于分支机构投标</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color w:val="000000" w:themeColor="text1"/>
          <w:shd w:val="clear" w:color="auto" w:fill="FFFFFF"/>
          <w14:textFill>
            <w14:solidFill>
              <w14:schemeClr w14:val="tx1"/>
            </w14:solidFill>
          </w14:textFill>
        </w:rPr>
        <w:t>对接受分支机构投标的项目，分支机构投标的，须提供分支机构的营业执照（执业许可证）扫描件及总公司（总所）出具给分支机构的授权书，授权书须加盖总公司（总所）公章。</w:t>
      </w:r>
      <w:bookmarkStart w:id="22" w:name="_Hlk203984094"/>
      <w:r>
        <w:rPr>
          <w:color w:val="000000" w:themeColor="text1"/>
          <w:shd w:val="clear" w:color="auto" w:fill="FFFFFF"/>
          <w14:textFill>
            <w14:solidFill>
              <w14:schemeClr w14:val="tx1"/>
            </w14:solidFill>
          </w14:textFill>
        </w:rPr>
        <w:t>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政府采购活动，产生的民事责任由法人承担。</w:t>
      </w:r>
      <w:bookmarkEnd w:id="22"/>
    </w:p>
    <w:p>
      <w:pPr>
        <w:pStyle w:val="25"/>
        <w:ind w:firstLine="480"/>
        <w:rPr>
          <w:color w:val="000000" w:themeColor="text1"/>
          <w:shd w:val="clear" w:color="auto" w:fill="FFFFFF"/>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（五）关于提供前期服务的供应商</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1.为采购项目提供整体设计、规范编制或者项目管理、监理、检测等服务的供应商，不得再参加该采购项目的其他采购活动。</w:t>
      </w:r>
    </w:p>
    <w:p>
      <w:pPr>
        <w:pStyle w:val="25"/>
        <w:ind w:firstLine="480"/>
        <w:rPr>
          <w:color w:val="000000" w:themeColor="text1"/>
          <w:shd w:val="clear" w:color="auto" w:fill="FFFFFF"/>
          <w14:textFill>
            <w14:solidFill>
              <w14:schemeClr w14:val="tx1"/>
            </w14:solidFill>
          </w14:textFill>
        </w:rPr>
      </w:pPr>
      <w:bookmarkStart w:id="23" w:name="_Hlk203984158"/>
      <w:r>
        <w:rPr>
          <w:rStyle w:val="33"/>
          <w:rFonts w:hint="eastAsia" w:ascii="Times New Roman" w:hAnsi="Times New Roman" w:cs="Times New Roman"/>
          <w:color w:val="000000" w:themeColor="text1"/>
          <w:shd w:val="clear" w:color="auto" w:fill="FFFFFF"/>
          <w14:textFill>
            <w14:solidFill>
              <w14:schemeClr w14:val="tx1"/>
            </w14:solidFill>
          </w14:textFill>
        </w:rPr>
        <w:t>（六）关于中小微企业投标</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1.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2.根据财库〔2014〕68号《财政部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25"/>
        <w:ind w:firstLine="480"/>
        <w:rPr>
          <w:b/>
          <w:bCs/>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3.根据财库〔2017〕141号《财政部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bookmarkEnd w:id="23"/>
    <w:p>
      <w:pPr>
        <w:pStyle w:val="25"/>
        <w:spacing w:before="75" w:after="75" w:line="432" w:lineRule="auto"/>
        <w:ind w:firstLine="48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（七）知识产权</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投标人必须保证，采购人在中华人民共和国境内使用投标货物、资料、技术、服务或其任何一部分时，享有不受限制的无偿使用权，如有第三方向采购人提出侵犯其专利权、商标权或其它知识产权的主张，该责任应由投标人承担。</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2.投标报价应包含所有应向所有权人支付的专利权、商标权或其它知识产权的一切相关费用。</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本项目享有本项目实施过程中及开发完成后产生的技术成果及相关知识产权（如有），包括不限于完备的系统设计文档、功能模块说明、程序源代码、执行代码、使用手册等，具有永久合法所有权。项目所交付的应用系统软件环境包括生产环境（正式环境）、测试环境、开发环境，所有环境均要求能正常使用，未经采购人许可，中标人不得将相关采购人资料提供给第三方。</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4.对系统建设、运行、维护期间所产生的数据，归采购人所有。</w:t>
      </w:r>
    </w:p>
    <w:p>
      <w:pPr>
        <w:pStyle w:val="25"/>
        <w:spacing w:before="75" w:after="75" w:line="432" w:lineRule="auto"/>
        <w:ind w:firstLine="420"/>
        <w:rPr>
          <w:color w:val="000000" w:themeColor="text1"/>
          <w14:textFill>
            <w14:solidFill>
              <w14:schemeClr w14:val="tx1"/>
            </w14:solidFill>
          </w14:textFill>
        </w:rPr>
      </w:pPr>
      <w:bookmarkStart w:id="24" w:name="_Hlk203984305"/>
      <w:r>
        <w:rPr>
          <w:rStyle w:val="33"/>
          <w:rFonts w:hint="eastAsia" w:ascii="Times New Roman" w:hAnsi="Times New Roman" w:cs="Times New Roman"/>
          <w:color w:val="000000" w:themeColor="text1"/>
          <w:shd w:val="clear" w:color="auto" w:fill="FFFFFF"/>
          <w14:textFill>
            <w14:solidFill>
              <w14:schemeClr w14:val="tx1"/>
            </w14:solidFill>
          </w14:textFill>
        </w:rPr>
        <w:t>（八）纪律与保密事项</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1.投标人不得相互串通投标报价，不得妨碍其他投标人的公平竞争，不得损害采购人或其他投标人的合法权益，投标人不得以向采购人、评标委员会成员行贿或者采取其他不正当手段谋取中标。</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2.在确定中标供应商之前，投标人不得与采购人就投标价格、投标方案等实质性内容进行谈判，也不得私下接触评标委员会成员。</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3.在确定中标供应商之前，投标人试图在投标文件审查、澄清、比较和评价时对评标委员会、采购人和采购代理机构施加任何影响都可能导致其投标无效。</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4.获得本招标文件者，须履行本项目下保密义务，不得将因本次项目获得的信息向第三人外传，不得将招标文件用作本次投标以外的任何用途。</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 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6.采购人或采购代理机构有权将供应商提供的所有资料向有关政府部门或评审小组披露。</w:t>
      </w:r>
    </w:p>
    <w:p>
      <w:pPr>
        <w:pStyle w:val="25"/>
        <w:ind w:firstLine="480"/>
        <w:rPr>
          <w:b/>
          <w:bCs/>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bookmarkEnd w:id="24"/>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三、询问、质疑、投诉</w:t>
      </w:r>
    </w:p>
    <w:p>
      <w:pPr>
        <w:pStyle w:val="25"/>
        <w:ind w:firstLine="480"/>
        <w:rPr>
          <w:b/>
          <w:bCs/>
          <w:color w:val="000000" w:themeColor="text1"/>
          <w:shd w:val="clear" w:color="auto" w:fill="FFFFFF"/>
          <w14:textFill>
            <w14:solidFill>
              <w14:schemeClr w14:val="tx1"/>
            </w14:solidFill>
          </w14:textFill>
        </w:rPr>
      </w:pPr>
      <w:r>
        <w:rPr>
          <w:rFonts w:hint="eastAsia"/>
          <w:b/>
          <w:bCs/>
          <w:color w:val="000000" w:themeColor="text1"/>
          <w:shd w:val="clear" w:color="auto" w:fill="FFFFFF"/>
          <w14:textFill>
            <w14:solidFill>
              <w14:schemeClr w14:val="tx1"/>
            </w14:solidFill>
          </w14:textFill>
        </w:rPr>
        <w:t>（一）询问</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w:t>
      </w:r>
      <w:bookmarkStart w:id="25" w:name="_Hlk203984602"/>
      <w:r>
        <w:rPr>
          <w:rFonts w:hint="eastAsia"/>
          <w:color w:val="000000" w:themeColor="text1"/>
          <w:shd w:val="clear" w:color="auto" w:fill="FFFFFF"/>
          <w14:textFill>
            <w14:solidFill>
              <w14:schemeClr w14:val="tx1"/>
            </w14:solidFill>
          </w14:textFill>
        </w:rPr>
        <w:t>以书面方式提出的，询问文件应当署名，询问供应商为自然人的，应当由本人签字；询问供应商为法人或者其他组织的，应当由法定代表人、主要负责人，或者其授权代表签字或者盖章，并加盖公章。</w:t>
      </w:r>
      <w:bookmarkEnd w:id="25"/>
      <w:r>
        <w:rPr>
          <w:rFonts w:hint="eastAsia"/>
          <w:color w:val="000000" w:themeColor="text1"/>
          <w:shd w:val="clear" w:color="auto" w:fill="FFFFFF"/>
          <w14:textFill>
            <w14:solidFill>
              <w14:schemeClr w14:val="tx1"/>
            </w14:solidFill>
          </w14:textFill>
        </w:rPr>
        <w:t>联系方式见招标公告中“采购人、采购代理机构的名称、地址和联系方式”。</w:t>
      </w:r>
    </w:p>
    <w:p>
      <w:pPr>
        <w:pStyle w:val="25"/>
        <w:ind w:firstLine="480"/>
        <w:rPr>
          <w:b/>
          <w:bCs/>
          <w:color w:val="000000" w:themeColor="text1"/>
          <w:shd w:val="clear" w:color="auto" w:fill="FFFFFF"/>
          <w14:textFill>
            <w14:solidFill>
              <w14:schemeClr w14:val="tx1"/>
            </w14:solidFill>
          </w14:textFill>
        </w:rPr>
      </w:pPr>
      <w:r>
        <w:rPr>
          <w:rFonts w:hint="eastAsia"/>
          <w:b/>
          <w:bCs/>
          <w:color w:val="000000" w:themeColor="text1"/>
          <w:shd w:val="clear" w:color="auto" w:fill="FFFFFF"/>
          <w14:textFill>
            <w14:solidFill>
              <w14:schemeClr w14:val="tx1"/>
            </w14:solidFill>
          </w14:textFill>
        </w:rPr>
        <w:t>（二）质疑</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（1）对招标文件提出质疑的，为招标文件公告期限届满之日；</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（2）对采购过程提出质疑的，为各采购程序环节结束之日；</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（3）对中标结果提出质疑的，为中标结果公告期限届满之日。</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2.质疑函应当包括下列主要内容：</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（1）质疑供应商和相关供应商的名称、地址、邮编、联系人及联系电话等；</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（2）质疑项目名称及编号、具体明确的质疑事项和与质疑事项相关的请求；</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（3）认为采购文件、采购过程、中标和成交结果使自己的合法权益受到损害的法律依据、事实依据、相关证明材料及证据来源；</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（4）提出质疑的日期。</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3.质疑函应当署名。质疑供应商为自然人的，应当由本人签字；质疑供应商为法人或者其他组织的，应当由法定代表人、主要负责人，或者其授权代表签字或者盖章，并加盖公章。</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4.以联合体形式参加政府采购活动的，其质疑应当由联合体成员委托主体提出。</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6.质疑联系方式如下：</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质疑联系人：林欣</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电话：87150212</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地址：广州市天河区天润路447号4楼广州市政府采购中心质量监督部</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邮编：510630</w:t>
      </w:r>
    </w:p>
    <w:p>
      <w:pPr>
        <w:pStyle w:val="25"/>
        <w:ind w:firstLine="480"/>
        <w:rPr>
          <w:b/>
          <w:bCs/>
          <w:color w:val="000000" w:themeColor="text1"/>
          <w:shd w:val="clear" w:color="auto" w:fill="FFFFFF"/>
          <w14:textFill>
            <w14:solidFill>
              <w14:schemeClr w14:val="tx1"/>
            </w14:solidFill>
          </w14:textFill>
        </w:rPr>
      </w:pPr>
      <w:r>
        <w:rPr>
          <w:rFonts w:hint="eastAsia"/>
          <w:b/>
          <w:bCs/>
          <w:color w:val="000000" w:themeColor="text1"/>
          <w:shd w:val="clear" w:color="auto" w:fill="FFFFFF"/>
          <w14:textFill>
            <w14:solidFill>
              <w14:schemeClr w14:val="tx1"/>
            </w14:solidFill>
          </w14:textFill>
        </w:rPr>
        <w:t>（三）投诉</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质疑人对采购人或采购代理机构的质疑答复不满意或在规定时间内未得到答复的，可以在答复期满后15个工作日内，按如下联系方式向本项目采购人同级监督管理部门提起投诉。</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本项目投诉受理部门：财政部政府采购监督裁决处，地址：西城区月坛北小街13号中船宾馆北楼四层8401室、8403室，受理电话：010-68513070、010-68519967。</w:t>
      </w:r>
    </w:p>
    <w:p>
      <w:pPr>
        <w:pStyle w:val="25"/>
        <w:ind w:firstLine="480"/>
        <w:rPr>
          <w:color w:val="000000" w:themeColor="text1"/>
          <w14:textFill>
            <w14:solidFill>
              <w14:schemeClr w14:val="tx1"/>
            </w14:solidFill>
          </w14:textFill>
        </w:rPr>
      </w:pPr>
      <w:bookmarkStart w:id="26" w:name="_Hlk203984787"/>
      <w:r>
        <w:rPr>
          <w:rStyle w:val="33"/>
          <w:rFonts w:hint="eastAsia" w:ascii="Times New Roman" w:hAnsi="Times New Roman" w:cs="Times New Roman"/>
          <w:color w:val="000000" w:themeColor="text1"/>
          <w14:textFill>
            <w14:solidFill>
              <w14:schemeClr w14:val="tx1"/>
            </w14:solidFill>
          </w14:textFill>
        </w:rPr>
        <w:t>四、投标要求</w:t>
      </w:r>
    </w:p>
    <w:bookmarkEnd w:id="26"/>
    <w:p>
      <w:pPr>
        <w:pStyle w:val="25"/>
        <w:ind w:firstLine="480"/>
        <w:rPr>
          <w:b/>
          <w:bCs/>
          <w:color w:val="000000" w:themeColor="text1"/>
          <w:shd w:val="clear" w:color="auto" w:fill="FFFFFF"/>
          <w14:textFill>
            <w14:solidFill>
              <w14:schemeClr w14:val="tx1"/>
            </w14:solidFill>
          </w14:textFill>
        </w:rPr>
      </w:pPr>
      <w:bookmarkStart w:id="27" w:name="_Hlk203984807"/>
      <w:r>
        <w:rPr>
          <w:rFonts w:hint="eastAsia"/>
          <w:b/>
          <w:bCs/>
          <w:color w:val="000000" w:themeColor="text1"/>
          <w:shd w:val="clear" w:color="auto" w:fill="FFFFFF"/>
          <w14:textFill>
            <w14:solidFill>
              <w14:schemeClr w14:val="tx1"/>
            </w14:solidFill>
          </w14:textFill>
        </w:rPr>
        <w:t>（一）投标登记</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 投标人应从广州市政采中心采购综合管理服务平台（https://gcycloud.cn/gpbs-gpbs/index.html#/gpbs/supplierReg/registrationPage?zoneCode=440101&amp;tenantId=ZF_DLJG_000004）的供应商入口进行免费注册后，登录进入项目采购系统完成项目投标登记并在线获取招标文件（未按上述方式获取招标文件的供应商，其投标资格将被视为无效）。</w:t>
      </w:r>
    </w:p>
    <w:bookmarkEnd w:id="27"/>
    <w:p>
      <w:pPr>
        <w:pStyle w:val="25"/>
        <w:ind w:firstLine="480"/>
        <w:rPr>
          <w:color w:val="000000" w:themeColor="text1"/>
          <w14:textFill>
            <w14:solidFill>
              <w14:schemeClr w14:val="tx1"/>
            </w14:solidFill>
          </w14:textFill>
        </w:rPr>
      </w:pPr>
      <w:r>
        <w:rPr>
          <w:rStyle w:val="33"/>
          <w:rFonts w:hint="eastAsia" w:ascii="Times New Roman" w:hAnsi="Times New Roman" w:cs="Times New Roman"/>
          <w:color w:val="000000" w:themeColor="text1"/>
          <w14:textFill>
            <w14:solidFill>
              <w14:schemeClr w14:val="tx1"/>
            </w14:solidFill>
          </w14:textFill>
        </w:rPr>
        <w:t>（二）投标文件的制作</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1.投标文件中，</w:t>
      </w:r>
      <w:bookmarkStart w:id="28" w:name="_Hlk203985132"/>
      <w:r>
        <w:rPr>
          <w:color w:val="000000" w:themeColor="text1"/>
          <w:shd w:val="clear" w:color="auto" w:fill="FFFFFF"/>
          <w14:textFill>
            <w14:solidFill>
              <w14:schemeClr w14:val="tx1"/>
            </w14:solidFill>
          </w14:textFill>
        </w:rPr>
        <w:t>所有内容均以电子文件编制，其格式要求详见第五章说明。</w:t>
      </w:r>
      <w:bookmarkEnd w:id="28"/>
      <w:bookmarkStart w:id="29" w:name="_Hlk203985147"/>
      <w:r>
        <w:rPr>
          <w:color w:val="000000" w:themeColor="text1"/>
          <w:shd w:val="clear" w:color="auto" w:fill="FFFFFF"/>
          <w14:textFill>
            <w14:solidFill>
              <w14:schemeClr w14:val="tx1"/>
            </w14:solidFill>
          </w14:textFill>
        </w:rPr>
        <w:t>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bookmarkEnd w:id="29"/>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 xml:space="preserve"> 2.</w:t>
      </w:r>
      <w:bookmarkStart w:id="30" w:name="_Hlk203985043"/>
      <w:r>
        <w:rPr>
          <w:color w:val="000000" w:themeColor="text1"/>
          <w:shd w:val="clear" w:color="auto" w:fill="FFFFFF"/>
          <w14:textFill>
            <w14:solidFill>
              <w14:schemeClr w14:val="tx1"/>
            </w14:solidFill>
          </w14:textFill>
        </w:rPr>
        <w:t>投标人应使用广州市政采中心采购综合管理服务平台提供的投标客户端编制、标记、加密投标文件，成功加密后将生成指定格式的电子投标文件和电子备用投标文件。所有投标文件不能进行压缩处理。关于电子投标报价（如有报价）说明如下：</w:t>
      </w:r>
      <w:bookmarkEnd w:id="30"/>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color w:val="000000" w:themeColor="text1"/>
          <w:shd w:val="clear" w:color="auto" w:fill="FFFFFF"/>
          <w14:textFill>
            <w14:solidFill>
              <w14:schemeClr w14:val="tx1"/>
            </w14:solidFill>
          </w14:textFill>
        </w:rPr>
        <w:t>投标人应按照“第二章采购需求”的需求内容、责任范围以及合同条款进行报价。并按“开标一览表”和“</w:t>
      </w:r>
      <w:r>
        <w:rPr>
          <w:rFonts w:hint="eastAsia"/>
          <w:color w:val="000000" w:themeColor="text1"/>
          <w:shd w:val="clear" w:color="auto" w:fill="FFFFFF"/>
          <w14:textFill>
            <w14:solidFill>
              <w14:schemeClr w14:val="tx1"/>
            </w14:solidFill>
          </w14:textFill>
        </w:rPr>
        <w:t>详细报价表</w:t>
      </w:r>
      <w:r>
        <w:rPr>
          <w:color w:val="000000" w:themeColor="text1"/>
          <w:shd w:val="clear" w:color="auto" w:fill="FFFFFF"/>
          <w14:textFill>
            <w14:solidFill>
              <w14:schemeClr w14:val="tx1"/>
            </w14:solidFill>
          </w14:textFill>
        </w:rPr>
        <w:t>”规定的格式报出</w:t>
      </w:r>
      <w:r>
        <w:rPr>
          <w:rFonts w:hint="eastAsia"/>
          <w:color w:val="000000" w:themeColor="text1"/>
          <w:shd w:val="clear" w:color="auto" w:fill="FFFFFF"/>
          <w14:textFill>
            <w14:solidFill>
              <w14:schemeClr w14:val="tx1"/>
            </w14:solidFill>
          </w14:textFill>
        </w:rPr>
        <w:t>综合单价汇总价</w:t>
      </w:r>
      <w:r>
        <w:rPr>
          <w:color w:val="000000" w:themeColor="text1"/>
          <w:shd w:val="clear" w:color="auto" w:fill="FFFFFF"/>
          <w14:textFill>
            <w14:solidFill>
              <w14:schemeClr w14:val="tx1"/>
            </w14:solidFill>
          </w14:textFill>
        </w:rPr>
        <w:t>和</w:t>
      </w:r>
      <w:r>
        <w:rPr>
          <w:rFonts w:hint="eastAsia"/>
          <w:color w:val="000000" w:themeColor="text1"/>
          <w:shd w:val="clear" w:color="auto" w:fill="FFFFFF"/>
          <w14:textFill>
            <w14:solidFill>
              <w14:schemeClr w14:val="tx1"/>
            </w14:solidFill>
          </w14:textFill>
        </w:rPr>
        <w:t>各采购内容的单价报价</w:t>
      </w:r>
      <w:r>
        <w:rPr>
          <w:color w:val="000000" w:themeColor="text1"/>
          <w:shd w:val="clear" w:color="auto" w:fill="FFFFFF"/>
          <w14:textFill>
            <w14:solidFill>
              <w14:schemeClr w14:val="tx1"/>
            </w14:solidFill>
          </w14:textFill>
        </w:rPr>
        <w:t>。投标总价中不得包含招标文件要求以外的内容，否则，在评审时不予核减。</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color w:val="000000" w:themeColor="text1"/>
          <w:shd w:val="clear" w:color="auto" w:fill="FFFFFF"/>
          <w14:textFill>
            <w14:solidFill>
              <w14:schemeClr w14:val="tx1"/>
            </w14:solidFill>
          </w14:textFill>
        </w:rPr>
        <w:t>投标报价包括本项目采购需求和投入使用的所有费用，包括但不限于主件、标准附件、备品备件、施工、服务、专用工具、安装、调试、检验、培训、运输、保险、税款等。</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3.如有对多个采购包投标的，要对每个采购包独立制作电子投标文件。</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4.投标人不得将同一个项目或同一个采购包的内容拆开投标，否则其报价将被视为非实质性响应。</w:t>
      </w:r>
    </w:p>
    <w:p>
      <w:pPr>
        <w:pStyle w:val="25"/>
        <w:ind w:firstLine="480"/>
        <w:rPr>
          <w:color w:val="000000" w:themeColor="text1"/>
          <w:shd w:val="clear" w:color="auto" w:fill="FFFFFF"/>
          <w14:textFill>
            <w14:solidFill>
              <w14:schemeClr w14:val="tx1"/>
            </w14:solidFill>
          </w14:textFill>
        </w:rPr>
      </w:pPr>
      <w:bookmarkStart w:id="31" w:name="_Hlk203985204"/>
      <w:r>
        <w:rPr>
          <w:color w:val="000000" w:themeColor="text1"/>
          <w:shd w:val="clear" w:color="auto" w:fill="FFFFFF"/>
          <w14:textFill>
            <w14:solidFill>
              <w14:schemeClr w14:val="tx1"/>
            </w14:solidFill>
          </w14:textFill>
        </w:rPr>
        <w:t>5.投标人须对招标文件的对应要求给予唯一的实质性响应，否则将视为不响应。</w:t>
      </w:r>
    </w:p>
    <w:bookmarkEnd w:id="31"/>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6.招标文件中，凡标有“★”的地方均为实质性响应条款，投标人若有一项带“★”的条款未响应或不满足，将按无效投标处理。</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7.投标人必须按招标文件指定的格式填写各种报价，各报价应计算正确。除在招标文件另有规定外（如：报折扣、报优惠率等），计量单位应使用中华人民共和国法定计量单位，以人民币填报所有报价。</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25"/>
        <w:ind w:firstLine="480"/>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政府财政部门。</w:t>
      </w:r>
    </w:p>
    <w:p>
      <w:pPr>
        <w:pStyle w:val="25"/>
        <w:ind w:firstLine="480"/>
        <w:rPr>
          <w:b/>
          <w:bCs/>
          <w:color w:val="000000" w:themeColor="text1"/>
          <w:shd w:val="clear" w:color="auto" w:fill="FFFFFF"/>
          <w14:textFill>
            <w14:solidFill>
              <w14:schemeClr w14:val="tx1"/>
            </w14:solidFill>
          </w14:textFill>
        </w:rPr>
      </w:pPr>
      <w:r>
        <w:rPr>
          <w:rFonts w:hint="eastAsia"/>
          <w:b/>
          <w:bCs/>
          <w:color w:val="000000" w:themeColor="text1"/>
          <w:shd w:val="clear" w:color="auto" w:fill="FFFFFF"/>
          <w14:textFill>
            <w14:solidFill>
              <w14:schemeClr w14:val="tx1"/>
            </w14:solidFill>
          </w14:textFill>
        </w:rPr>
        <w:t>（三）投标文件的提交</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1.投标人应在上传电子投标文件前，在广州市政采中心采购综合管理服务平台中完成项目投标登记。</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2.采购代理机构不接受现场纸质、邮寄纸质、电报、电话、传真方式投标。</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于提交投标文件截止时间前，投标人将投标文件完整上传并保存在广州市政府采购中心采购综合管理服务平台采购系统，且取得回执。时间以广州市政府采购中心采购综合管理服务平台采购系统服务器从中国科学院国家授时中心取得的北京时间为准，投标截止时间结束后，系统将不允许投标人上传投标文件。</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4.上传投标文件时，投标人须使用制作该投标文件的同一业务数字证书进行上传操作。</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 市政府采购中心对因不可抗力事件造成的投标文件的损坏、丢失的，不承担责任。</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6.出现下述情形之一，属于未成功提交投标文件：</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（1）至提交投标文件截止时，投标文件未完整上传并保存的。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（2）投标文件未按要求进行电子签名和电子签章，或电子签名或电子签章不完整的。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（3）投标文件损坏或格式不正确的。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（4）未使用最新发布的招标文件制作投标文件的。</w:t>
      </w:r>
    </w:p>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（四）投标文件的修改、撤回与撤销</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1.在提交投标文件截止时间前，投标人可以修改或撤回未解密的投标文件，投标文件一经解密，将不允许修改或撤回。</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2.在提交投标文件截止时间后，投标人不得补充、修改和更换投标文件。</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3.在提交投标文件截止时间起至投标有效期终止日前，投标人不得撤销投标文件。</w:t>
      </w:r>
    </w:p>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（五）投标文件的解密</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投标人须在规定的投标解密时间内，使用制作该投标文件的同一业务数字证书对投标文件进行解密，逾期未解密的投标文件作无效投标处理。</w:t>
      </w:r>
    </w:p>
    <w:p>
      <w:pPr>
        <w:pStyle w:val="25"/>
        <w:ind w:firstLine="480"/>
        <w:rPr>
          <w:color w:val="000000" w:themeColor="text1"/>
          <w:shd w:val="clear" w:color="auto" w:fill="FFFFFF"/>
          <w14:textFill>
            <w14:solidFill>
              <w14:schemeClr w14:val="tx1"/>
            </w14:solidFill>
          </w14:textFill>
        </w:rPr>
      </w:pPr>
      <w:r>
        <w:rPr>
          <w:rFonts w:hint="eastAsia"/>
          <w:b/>
          <w:bCs/>
          <w:color w:val="000000" w:themeColor="text1"/>
          <w14:textFill>
            <w14:solidFill>
              <w14:schemeClr w14:val="tx1"/>
            </w14:solidFill>
          </w14:textFill>
        </w:rPr>
        <w:t>（六）投标有效期</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投标有效期从提交投标文件的截止之日起算90天。</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1.投标有效期内投标人撤销投标文件的，采购人或者采购代理机构可以不退还投标保证金（如有）。采用投标保函方式替代保证金的，采购人或者采购代理机构可以向担保机构索赔保证金。</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 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25"/>
        <w:spacing w:before="75" w:after="75" w:line="432" w:lineRule="auto"/>
        <w:ind w:firstLine="420"/>
        <w:rPr>
          <w:color w:val="000000" w:themeColor="text1"/>
          <w14:textFill>
            <w14:solidFill>
              <w14:schemeClr w14:val="tx1"/>
            </w14:solidFill>
          </w14:textFill>
        </w:rPr>
      </w:pPr>
      <w:r>
        <w:rPr>
          <w:rStyle w:val="33"/>
          <w:rFonts w:hint="eastAsia" w:ascii="Times New Roman" w:hAnsi="Times New Roman" w:cs="Times New Roman"/>
          <w:color w:val="000000" w:themeColor="text1"/>
          <w:shd w:val="clear" w:color="auto" w:fill="FFFFFF"/>
          <w14:textFill>
            <w14:solidFill>
              <w14:schemeClr w14:val="tx1"/>
            </w14:solidFill>
          </w14:textFill>
        </w:rPr>
        <w:t>（七）投标保证金</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1.本项目收取投标保证金。投标保证金可以采用银行转账、支票、汇票、本票、保函等非现金形式提交，具体缴纳办法如下：</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2.金额14800元。</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3.缴纳截止时间：本项目提交投标文件截止时间</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4.采取汇款方式</w:t>
      </w:r>
      <w:bookmarkStart w:id="32" w:name="OLE_LINK4"/>
      <w:r>
        <w:rPr>
          <w:rFonts w:hint="eastAsia"/>
          <w:color w:val="000000" w:themeColor="text1"/>
          <w:shd w:val="clear" w:color="auto" w:fill="FFFFFF"/>
          <w14:textFill>
            <w14:solidFill>
              <w14:schemeClr w14:val="tx1"/>
            </w14:solidFill>
          </w14:textFill>
        </w:rPr>
        <w:t>缴纳的</w:t>
      </w:r>
      <w:bookmarkEnd w:id="32"/>
      <w:r>
        <w:rPr>
          <w:rFonts w:hint="eastAsia"/>
          <w:color w:val="000000" w:themeColor="text1"/>
          <w:shd w:val="clear" w:color="auto" w:fill="FFFFFF"/>
          <w14:textFill>
            <w14:solidFill>
              <w14:schemeClr w14:val="tx1"/>
            </w14:solidFill>
          </w14:textFill>
        </w:rPr>
        <w:t>，投标保证金应当从报价供应商的银行账户缴纳且在投标截止时间前到达采购机构账户内，同时将支付凭证通过投标文件一并提交，以凭证为准，否则视为无效投标；投标人在汇款时应当在备注信息中注明本项目的编号及用途（如“项目编号，投标保证金”），以便采购机构的财务人员查证入账。</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账户名称：广州市政府采购中心；</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银行账号：3602085729208888868；</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开户行:中国工商银行广州太阳广场支行。</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5.采用保函、担保或保证保险等方式缴纳的，投标人应在文件中提交其佐证材料的扫描件。保函、担保或保证保险(不限制其开具机构及其出具格式)。有效期超过投标有效期 30 天。</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6.中标人的投标保证金，在签订正式合同后5个工作日内全额无息退还。未中标的投标保证金，将在采购代理机构发出结果公告后5个工作日内全额无息退还。</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7.有下列情况之一的，投标保证金将不予退还：</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（1）投标人在提交投标文件截止时间后，在投标有效期内撤回其投文件的；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（2）投标人干扰投标或评审活动，造成严重影响和后果的；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（3）虚假报价或恶意串通的；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（4）中标人无正当理由放弃成交的；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（5）中标人无正当理由不与采购单位订立合同，在签订合同时向采购单位提出附加条件，或不按照招标文件要求提交履约保证金的；</w:t>
      </w:r>
    </w:p>
    <w:p>
      <w:pPr>
        <w:pStyle w:val="25"/>
        <w:ind w:firstLine="48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（6）其他违反国家法律法规行为的。</w:t>
      </w:r>
    </w:p>
    <w:p>
      <w:pPr>
        <w:rPr>
          <w:shd w:val="clear" w:color="auto" w:fill="FFFFFF"/>
        </w:rPr>
      </w:pPr>
      <w:r>
        <w:rPr>
          <w:rFonts w:hint="eastAsia"/>
          <w:shd w:val="clear" w:color="auto" w:fill="FFFFFF"/>
        </w:rPr>
        <w:br w:type="page"/>
      </w:r>
    </w:p>
    <w:p>
      <w:pPr>
        <w:jc w:val="center"/>
        <w:outlineLvl w:val="0"/>
        <w:rPr>
          <w:rFonts w:ascii="宋体"/>
          <w:b/>
          <w:sz w:val="30"/>
        </w:rPr>
      </w:pPr>
      <w:r>
        <w:rPr>
          <w:rFonts w:hint="eastAsia" w:ascii="宋体"/>
          <w:b/>
          <w:sz w:val="30"/>
        </w:rPr>
        <w:t>第二章 采购需求</w:t>
      </w:r>
    </w:p>
    <w:p>
      <w:pPr>
        <w:spacing w:line="360" w:lineRule="auto"/>
        <w:rPr>
          <w:b/>
          <w:szCs w:val="24"/>
        </w:rPr>
      </w:pPr>
    </w:p>
    <w:p>
      <w:pPr>
        <w:tabs>
          <w:tab w:val="left" w:pos="525"/>
          <w:tab w:val="left" w:pos="846"/>
          <w:tab w:val="left" w:pos="3398"/>
        </w:tabs>
        <w:autoSpaceDE w:val="0"/>
        <w:autoSpaceDN w:val="0"/>
        <w:adjustRightInd w:val="0"/>
        <w:spacing w:before="163" w:beforeLines="50" w:line="360" w:lineRule="auto"/>
        <w:ind w:left="522" w:hanging="522"/>
        <w:outlineLvl w:val="1"/>
        <w:rPr>
          <w:rFonts w:ascii="宋体" w:cs="宋体"/>
          <w:b/>
          <w:bCs/>
          <w:color w:val="000000" w:themeColor="text1"/>
          <w:szCs w:val="21"/>
          <w14:textFill>
            <w14:solidFill>
              <w14:schemeClr w14:val="tx1"/>
            </w14:solidFill>
          </w14:textFill>
        </w:rPr>
      </w:pPr>
      <w:r>
        <w:rPr>
          <w:rFonts w:hint="eastAsia" w:ascii="宋体" w:cs="宋体"/>
          <w:b/>
          <w:bCs/>
          <w:color w:val="000000" w:themeColor="text1"/>
          <w:szCs w:val="21"/>
          <w14:textFill>
            <w14:solidFill>
              <w14:schemeClr w14:val="tx1"/>
            </w14:solidFill>
          </w14:textFill>
        </w:rPr>
        <w:t>一、总体要求</w:t>
      </w:r>
    </w:p>
    <w:p>
      <w:pPr>
        <w:pStyle w:val="93"/>
        <w:spacing w:after="0" w:line="360" w:lineRule="auto"/>
        <w:ind w:firstLine="480" w:firstLineChars="200"/>
        <w:rPr>
          <w:rFonts w:ascii="宋体" w:cs="宋体"/>
          <w:color w:val="000000" w:themeColor="text1"/>
          <w:sz w:val="24"/>
          <w14:textFill>
            <w14:solidFill>
              <w14:schemeClr w14:val="tx1"/>
            </w14:solidFill>
          </w14:textFill>
        </w:rPr>
      </w:pPr>
      <w:r>
        <w:rPr>
          <w:rFonts w:hint="eastAsia" w:ascii="宋体" w:cs="宋体"/>
          <w:color w:val="000000" w:themeColor="text1"/>
          <w:sz w:val="24"/>
          <w14:textFill>
            <w14:solidFill>
              <w14:schemeClr w14:val="tx1"/>
            </w14:solidFill>
          </w14:textFill>
        </w:rPr>
        <w:t>1、项目类型：服务类</w:t>
      </w:r>
    </w:p>
    <w:p>
      <w:pPr>
        <w:pStyle w:val="93"/>
        <w:spacing w:after="0" w:line="360" w:lineRule="auto"/>
        <w:ind w:firstLine="480" w:firstLineChars="200"/>
        <w:rPr>
          <w:rFonts w:ascii="宋体" w:cs="宋体"/>
          <w:color w:val="000000" w:themeColor="text1"/>
          <w:sz w:val="24"/>
          <w14:textFill>
            <w14:solidFill>
              <w14:schemeClr w14:val="tx1"/>
            </w14:solidFill>
          </w14:textFill>
        </w:rPr>
      </w:pPr>
      <w:bookmarkStart w:id="33" w:name="_Hlk207101208"/>
      <w:r>
        <w:rPr>
          <w:rFonts w:hint="eastAsia" w:ascii="宋体" w:cs="宋体"/>
          <w:color w:val="000000" w:themeColor="text1"/>
          <w:sz w:val="24"/>
          <w14:textFill>
            <w14:solidFill>
              <w14:schemeClr w14:val="tx1"/>
            </w14:solidFill>
          </w14:textFill>
        </w:rPr>
        <w:t>2、报价形式：折扣</w:t>
      </w:r>
    </w:p>
    <w:bookmarkEnd w:id="33"/>
    <w:p>
      <w:pPr>
        <w:pStyle w:val="93"/>
        <w:spacing w:after="0" w:line="360" w:lineRule="auto"/>
        <w:ind w:firstLine="482" w:firstLineChars="200"/>
        <w:rPr>
          <w:rFonts w:ascii="宋体" w:cs="宋体"/>
          <w:b/>
          <w:bCs/>
          <w:color w:val="000000" w:themeColor="text1"/>
          <w:sz w:val="24"/>
          <w14:textFill>
            <w14:solidFill>
              <w14:schemeClr w14:val="tx1"/>
            </w14:solidFill>
          </w14:textFill>
        </w:rPr>
      </w:pPr>
      <w:r>
        <w:rPr>
          <w:rFonts w:hint="eastAsia" w:ascii="宋体" w:cs="宋体"/>
          <w:b/>
          <w:bCs/>
          <w:color w:val="000000" w:themeColor="text1"/>
          <w:sz w:val="24"/>
          <w14:textFill>
            <w14:solidFill>
              <w14:schemeClr w14:val="tx1"/>
            </w14:solidFill>
          </w14:textFill>
        </w:rPr>
        <w:t>3、本项目采购标的对应的中小微企业划分标准所属行业为：其他未列明行业</w:t>
      </w:r>
    </w:p>
    <w:p>
      <w:pPr>
        <w:pStyle w:val="25"/>
        <w:spacing w:line="480" w:lineRule="atLeast"/>
        <w:ind w:firstLine="480"/>
        <w:jc w:val="both"/>
        <w:textAlignment w:val="baseline"/>
        <w:rPr>
          <w:rStyle w:val="37"/>
          <w:rFonts w:cs="Times New Roman"/>
          <w:sz w:val="24"/>
          <w:szCs w:val="24"/>
        </w:rPr>
      </w:pPr>
      <w:r>
        <w:rPr>
          <w:rFonts w:hint="eastAsia"/>
          <w:shd w:val="clear" w:color="auto" w:fill="FFFFFF"/>
        </w:rPr>
        <w:t>采购包1：</w:t>
      </w:r>
      <w:r>
        <w:rPr>
          <w:rStyle w:val="37"/>
          <w:rFonts w:hint="eastAsia" w:cs="Times New Roman"/>
          <w:sz w:val="24"/>
          <w:szCs w:val="24"/>
        </w:rPr>
        <w:t>不属于专门面向中小微企业采购的项目。</w:t>
      </w:r>
      <w:r>
        <w:rPr>
          <w:rStyle w:val="37"/>
          <w:rFonts w:cs="Times New Roman"/>
          <w:sz w:val="24"/>
          <w:szCs w:val="24"/>
        </w:rPr>
        <w:t>原因和情形为：</w:t>
      </w:r>
    </w:p>
    <w:p>
      <w:pPr>
        <w:pStyle w:val="25"/>
        <w:spacing w:line="480" w:lineRule="atLeast"/>
        <w:ind w:firstLine="480"/>
        <w:jc w:val="both"/>
        <w:textAlignment w:val="baseline"/>
        <w:rPr>
          <w:rStyle w:val="37"/>
          <w:rFonts w:cs="Times New Roman"/>
          <w:sz w:val="24"/>
          <w:szCs w:val="24"/>
        </w:rPr>
      </w:pPr>
      <w:r>
        <w:rPr>
          <w:rStyle w:val="37"/>
          <w:rFonts w:cs="Times New Roman"/>
          <w:sz w:val="24"/>
          <w:szCs w:val="24"/>
        </w:rPr>
        <w:t>按照《政府采购促进中小企业发展管理办法》规定预留采购份额无法确保充分供应、充分竞争，或者存在可能影响政府采购目标实现的情形。</w:t>
      </w:r>
    </w:p>
    <w:p>
      <w:pPr>
        <w:pStyle w:val="93"/>
        <w:spacing w:after="0" w:line="360" w:lineRule="auto"/>
        <w:ind w:firstLine="480" w:firstLineChars="200"/>
        <w:rPr>
          <w:rFonts w:ascii="宋体" w:cs="宋体"/>
          <w:color w:val="000000" w:themeColor="text1"/>
          <w:sz w:val="24"/>
          <w14:textFill>
            <w14:solidFill>
              <w14:schemeClr w14:val="tx1"/>
            </w14:solidFill>
          </w14:textFill>
        </w:rPr>
      </w:pPr>
      <w:r>
        <w:rPr>
          <w:rFonts w:hint="eastAsia" w:ascii="宋体" w:cs="宋体"/>
          <w:color w:val="000000" w:themeColor="text1"/>
          <w:sz w:val="24"/>
          <w14:textFill>
            <w14:solidFill>
              <w14:schemeClr w14:val="tx1"/>
            </w14:solidFill>
          </w14:textFill>
        </w:rPr>
        <w:t>4、★中标人不得将本项目整体或其中一部分转包、分包给第三方公司实施，投标文件内提供承诺函，格式自拟（依据实质性响应一览表及承诺函）。</w:t>
      </w:r>
    </w:p>
    <w:p>
      <w:pPr>
        <w:pStyle w:val="93"/>
        <w:spacing w:after="0" w:line="360" w:lineRule="auto"/>
        <w:ind w:firstLine="480" w:firstLineChars="200"/>
        <w:rPr>
          <w:rFonts w:ascii="宋体" w:cs="宋体"/>
          <w:color w:val="000000" w:themeColor="text1"/>
          <w:sz w:val="24"/>
          <w14:textFill>
            <w14:solidFill>
              <w14:schemeClr w14:val="tx1"/>
            </w14:solidFill>
          </w14:textFill>
        </w:rPr>
      </w:pPr>
      <w:r>
        <w:rPr>
          <w:rFonts w:hint="eastAsia" w:ascii="宋体" w:cs="宋体"/>
          <w:color w:val="000000" w:themeColor="text1"/>
          <w:sz w:val="24"/>
          <w14:textFill>
            <w14:solidFill>
              <w14:schemeClr w14:val="tx1"/>
            </w14:solidFill>
          </w14:textFill>
        </w:rPr>
        <w:t>5、</w:t>
      </w:r>
      <w:r>
        <w:rPr>
          <w:rFonts w:ascii="宋体" w:cs="宋体"/>
          <w:color w:val="000000" w:themeColor="text1"/>
          <w:sz w:val="24"/>
          <w14:textFill>
            <w14:solidFill>
              <w14:schemeClr w14:val="tx1"/>
            </w14:solidFill>
          </w14:textFill>
        </w:rPr>
        <w:t>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投标人无正当理由不按时提供原件的，应当书面知会代理机构，并书面报告财政</w:t>
      </w:r>
      <w:r>
        <w:rPr>
          <w:rFonts w:hint="eastAsia" w:ascii="宋体" w:cs="宋体"/>
          <w:color w:val="000000" w:themeColor="text1"/>
          <w:sz w:val="24"/>
          <w14:textFill>
            <w14:solidFill>
              <w14:schemeClr w14:val="tx1"/>
            </w14:solidFill>
          </w14:textFill>
        </w:rPr>
        <w:t>监管</w:t>
      </w:r>
      <w:r>
        <w:rPr>
          <w:rFonts w:ascii="宋体" w:cs="宋体"/>
          <w:color w:val="000000" w:themeColor="text1"/>
          <w:sz w:val="24"/>
          <w14:textFill>
            <w14:solidFill>
              <w14:schemeClr w14:val="tx1"/>
            </w14:solidFill>
          </w14:textFill>
        </w:rPr>
        <w:t>部门。</w:t>
      </w:r>
    </w:p>
    <w:p>
      <w:pPr>
        <w:pStyle w:val="93"/>
        <w:spacing w:after="0" w:line="360" w:lineRule="auto"/>
        <w:ind w:firstLine="482" w:firstLineChars="200"/>
        <w:rPr>
          <w:rFonts w:ascii="宋体" w:cs="宋体"/>
          <w:b/>
          <w:bCs/>
          <w:color w:val="000000" w:themeColor="text1"/>
          <w:sz w:val="24"/>
          <w14:textFill>
            <w14:solidFill>
              <w14:schemeClr w14:val="tx1"/>
            </w14:solidFill>
          </w14:textFill>
        </w:rPr>
      </w:pPr>
      <w:r>
        <w:rPr>
          <w:rFonts w:hint="eastAsia" w:ascii="宋体" w:cs="宋体"/>
          <w:b/>
          <w:bCs/>
          <w:color w:val="000000" w:themeColor="text1"/>
          <w:sz w:val="24"/>
          <w14:textFill>
            <w14:solidFill>
              <w14:schemeClr w14:val="tx1"/>
            </w14:solidFill>
          </w14:textFill>
        </w:rPr>
        <w:t>6、</w:t>
      </w:r>
      <w:bookmarkStart w:id="34" w:name="_Hlk207100963"/>
      <w:bookmarkStart w:id="35" w:name="_Hlk207100941"/>
      <w:r>
        <w:rPr>
          <w:rFonts w:hint="eastAsia" w:ascii="宋体" w:cs="宋体"/>
          <w:b/>
          <w:bCs/>
          <w:color w:val="000000" w:themeColor="text1"/>
          <w:sz w:val="24"/>
          <w14:textFill>
            <w14:solidFill>
              <w14:schemeClr w14:val="tx1"/>
            </w14:solidFill>
          </w14:textFill>
        </w:rPr>
        <w:t>★</w:t>
      </w:r>
      <w:bookmarkEnd w:id="34"/>
      <w:r>
        <w:rPr>
          <w:rFonts w:hint="eastAsia" w:ascii="宋体" w:cs="宋体"/>
          <w:b/>
          <w:bCs/>
          <w:color w:val="000000" w:themeColor="text1"/>
          <w:sz w:val="24"/>
          <w14:textFill>
            <w14:solidFill>
              <w14:schemeClr w14:val="tx1"/>
            </w14:solidFill>
          </w14:textFill>
        </w:rPr>
        <w:t>中标人须在中标结果公告之日起2个工作日内向采购代理机构提供纸质投标文件2套（封面需加盖单位公章及骑缝章），纸质投标文件需与电子投标文件内容保持一致。投标文件内提供承诺函，格式自拟（依据实质性响应一览表及承诺函）。</w:t>
      </w:r>
      <w:bookmarkEnd w:id="35"/>
    </w:p>
    <w:p>
      <w:pPr>
        <w:pStyle w:val="93"/>
        <w:spacing w:line="360" w:lineRule="auto"/>
        <w:ind w:firstLine="482" w:firstLineChars="200"/>
        <w:rPr>
          <w:rFonts w:ascii="宋体" w:cs="宋体"/>
          <w:b/>
          <w:bCs/>
          <w:color w:val="000000" w:themeColor="text1"/>
          <w:sz w:val="24"/>
          <w14:textFill>
            <w14:solidFill>
              <w14:schemeClr w14:val="tx1"/>
            </w14:solidFill>
          </w14:textFill>
        </w:rPr>
      </w:pPr>
      <w:r>
        <w:rPr>
          <w:rFonts w:hint="eastAsia" w:ascii="宋体" w:cs="宋体"/>
          <w:b/>
          <w:bCs/>
          <w:color w:val="000000" w:themeColor="text1"/>
          <w:sz w:val="24"/>
          <w14:textFill>
            <w14:solidFill>
              <w14:schemeClr w14:val="tx1"/>
            </w14:solidFill>
          </w14:textFill>
        </w:rPr>
        <w:t>7、★投标人需针对投标的采购包在《开标一览表》中报出统一的投标折扣（单位：%）。投标折扣必须为固定报价，不接受区间报价（如80%-90%），0＜投标折扣≤100％；报价保留小数点后两位，如：40.12%。同时投标人应在投标文件根据“二、投标报价要求”中每个采购包对应的格式进行填写，其中报价表对应的最终</w:t>
      </w:r>
      <w:r>
        <w:rPr>
          <w:rFonts w:hint="eastAsia" w:ascii="宋体" w:cs="宋体"/>
          <w:b/>
          <w:bCs/>
          <w:color w:val="000000" w:themeColor="text1"/>
          <w:sz w:val="24"/>
          <w:lang w:val="en-GB"/>
          <w14:textFill>
            <w14:solidFill>
              <w14:schemeClr w14:val="tx1"/>
            </w14:solidFill>
          </w14:textFill>
        </w:rPr>
        <w:t>折扣</w:t>
      </w:r>
      <w:r>
        <w:rPr>
          <w:rFonts w:hint="eastAsia" w:ascii="宋体" w:cs="宋体"/>
          <w:b/>
          <w:bCs/>
          <w:color w:val="000000" w:themeColor="text1"/>
          <w:sz w:val="24"/>
          <w14:textFill>
            <w14:solidFill>
              <w14:schemeClr w14:val="tx1"/>
            </w14:solidFill>
          </w14:textFill>
        </w:rPr>
        <w:t>报价应与《开标一览表》中报出的投标折扣一致。如未响应或有缺漏将按未通过符合性审查处理。</w:t>
      </w:r>
    </w:p>
    <w:p>
      <w:pPr>
        <w:rPr>
          <w:color w:val="000000" w:themeColor="text1"/>
          <w14:textFill>
            <w14:solidFill>
              <w14:schemeClr w14:val="tx1"/>
            </w14:solidFill>
          </w14:textFill>
        </w:rPr>
      </w:pPr>
    </w:p>
    <w:p>
      <w:pPr>
        <w:tabs>
          <w:tab w:val="left" w:pos="420"/>
          <w:tab w:val="left" w:pos="525"/>
          <w:tab w:val="left" w:pos="846"/>
          <w:tab w:val="left" w:pos="3398"/>
        </w:tabs>
        <w:autoSpaceDE w:val="0"/>
        <w:autoSpaceDN w:val="0"/>
        <w:adjustRightInd w:val="0"/>
        <w:spacing w:before="163" w:beforeLines="50" w:line="360" w:lineRule="auto"/>
        <w:outlineLvl w:val="1"/>
        <w:rPr>
          <w:rFonts w:ascii="宋体" w:cs="宋体"/>
          <w:b/>
          <w:bCs/>
          <w:color w:val="000000" w:themeColor="text1"/>
          <w:szCs w:val="21"/>
          <w14:textFill>
            <w14:solidFill>
              <w14:schemeClr w14:val="tx1"/>
            </w14:solidFill>
          </w14:textFill>
        </w:rPr>
      </w:pPr>
      <w:r>
        <w:rPr>
          <w:rFonts w:hint="eastAsia" w:ascii="宋体" w:cs="宋体"/>
          <w:b/>
          <w:bCs/>
          <w:color w:val="000000" w:themeColor="text1"/>
          <w:szCs w:val="21"/>
          <w14:textFill>
            <w14:solidFill>
              <w14:schemeClr w14:val="tx1"/>
            </w14:solidFill>
          </w14:textFill>
        </w:rPr>
        <w:t>二、投标报价要求</w:t>
      </w:r>
    </w:p>
    <w:p>
      <w:pPr>
        <w:adjustRightInd w:val="0"/>
        <w:snapToGrid w:val="0"/>
        <w:spacing w:line="360" w:lineRule="auto"/>
        <w:jc w:val="left"/>
        <w:rPr>
          <w:rFonts w:ascii="宋体" w:hAnsi="宋体"/>
          <w:bCs/>
        </w:rPr>
      </w:pPr>
      <w:bookmarkStart w:id="36" w:name="_Hlk204073841"/>
      <w:r>
        <w:rPr>
          <w:rFonts w:hint="eastAsia" w:ascii="宋体" w:hAnsi="宋体"/>
          <w:bCs/>
        </w:rPr>
        <w:t>采购包1(广州海关技术中心2026年实验室仪器设备维保服务项目（子包2））:</w:t>
      </w:r>
    </w:p>
    <w:bookmarkEnd w:id="36"/>
    <w:p>
      <w:pPr>
        <w:adjustRightInd w:val="0"/>
        <w:snapToGrid w:val="0"/>
        <w:spacing w:line="360" w:lineRule="auto"/>
        <w:jc w:val="left"/>
        <w:textAlignment w:val="baseline"/>
        <w:rPr>
          <w:rFonts w:ascii="宋体" w:hAnsi="宋体"/>
          <w:bCs/>
        </w:rPr>
      </w:pPr>
      <w:r>
        <w:rPr>
          <w:rFonts w:hint="eastAsia" w:ascii="宋体" w:hAnsi="宋体"/>
          <w:bCs/>
        </w:rPr>
        <w:t>合同总价包括维保清单内设备的年度维保费用，最终实施过程中的合同总额不得超过预算金额。</w:t>
      </w:r>
    </w:p>
    <w:p>
      <w:pPr>
        <w:adjustRightInd w:val="0"/>
        <w:snapToGrid w:val="0"/>
        <w:spacing w:line="360" w:lineRule="auto"/>
        <w:jc w:val="left"/>
        <w:textAlignment w:val="baseline"/>
        <w:rPr>
          <w:rFonts w:ascii="宋体" w:hAnsi="宋体"/>
          <w:b/>
        </w:rPr>
      </w:pPr>
      <w:r>
        <w:rPr>
          <w:rFonts w:hint="eastAsia" w:ascii="宋体" w:hAnsi="宋体"/>
          <w:b/>
        </w:rPr>
        <w:t>注：★开标时价格分计算的最终折扣即在《开标一览表》中报出的统一投标折扣，最终折扣=维保服务折扣，最终百分比四舍五入保留两位小数。并在投标文件中按以下格式要求提供《报价表》。如有漏项、错项，报价无效。</w:t>
      </w:r>
    </w:p>
    <w:p>
      <w:pPr>
        <w:adjustRightInd w:val="0"/>
        <w:snapToGrid w:val="0"/>
        <w:spacing w:line="360" w:lineRule="auto"/>
        <w:ind w:firstLine="480" w:firstLineChars="200"/>
        <w:jc w:val="left"/>
        <w:rPr>
          <w:rFonts w:ascii="方正仿宋_GBK" w:hAnsi="宋体" w:eastAsia="方正仿宋_GBK"/>
          <w:b/>
          <w:bCs/>
        </w:rPr>
      </w:pPr>
      <w:r>
        <w:rPr>
          <w:rFonts w:hint="eastAsia" w:ascii="方正仿宋_GBK" w:hAnsi="宋体" w:eastAsia="方正仿宋_GBK"/>
          <w:b/>
          <w:bCs/>
        </w:rPr>
        <w:t>维保服务报价与结算</w:t>
      </w:r>
    </w:p>
    <w:p>
      <w:pPr>
        <w:adjustRightInd w:val="0"/>
        <w:snapToGrid w:val="0"/>
        <w:spacing w:line="360" w:lineRule="auto"/>
        <w:ind w:firstLine="480" w:firstLineChars="200"/>
        <w:jc w:val="left"/>
        <w:rPr>
          <w:rFonts w:ascii="宋体" w:hAnsi="宋体"/>
          <w:bCs/>
        </w:rPr>
      </w:pPr>
      <w:r>
        <w:rPr>
          <w:rFonts w:hint="eastAsia" w:ascii="宋体" w:hAnsi="宋体"/>
          <w:bCs/>
        </w:rPr>
        <w:t>1</w:t>
      </w:r>
      <w:r>
        <w:rPr>
          <w:rFonts w:ascii="宋体" w:hAnsi="宋体"/>
          <w:bCs/>
        </w:rPr>
        <w:t>.1</w:t>
      </w:r>
      <w:r>
        <w:rPr>
          <w:rFonts w:hint="eastAsia" w:ascii="宋体" w:hAnsi="宋体"/>
          <w:bCs/>
        </w:rPr>
        <w:t xml:space="preserve"> 维保服务最高限价总额：人民币</w:t>
      </w:r>
      <w:r>
        <w:rPr>
          <w:rFonts w:ascii="宋体" w:hAnsi="宋体"/>
          <w:bCs/>
        </w:rPr>
        <w:t>74</w:t>
      </w:r>
      <w:r>
        <w:rPr>
          <w:rFonts w:hint="eastAsia" w:ascii="宋体" w:hAnsi="宋体"/>
          <w:bCs/>
        </w:rPr>
        <w:t>0000元（大写：柒拾肆万元整）；</w:t>
      </w:r>
    </w:p>
    <w:p>
      <w:pPr>
        <w:adjustRightInd w:val="0"/>
        <w:snapToGrid w:val="0"/>
        <w:spacing w:line="360" w:lineRule="auto"/>
        <w:ind w:firstLine="480" w:firstLineChars="200"/>
        <w:jc w:val="left"/>
        <w:rPr>
          <w:rFonts w:ascii="宋体" w:hAnsi="宋体"/>
          <w:bCs/>
        </w:rPr>
      </w:pPr>
      <w:r>
        <w:rPr>
          <w:rFonts w:hint="eastAsia" w:ascii="宋体" w:hAnsi="宋体"/>
          <w:bCs/>
        </w:rPr>
        <w:t>1.2 投标人投标维保服务折扣（即在《开标一览表》中报出的统一投标折扣）：______%；</w:t>
      </w:r>
    </w:p>
    <w:p>
      <w:pPr>
        <w:adjustRightInd w:val="0"/>
        <w:snapToGrid w:val="0"/>
        <w:spacing w:line="360" w:lineRule="auto"/>
        <w:ind w:firstLine="480" w:firstLineChars="200"/>
        <w:jc w:val="left"/>
        <w:rPr>
          <w:rFonts w:ascii="宋体" w:hAnsi="宋体"/>
          <w:bCs/>
        </w:rPr>
      </w:pPr>
      <w:r>
        <w:rPr>
          <w:rFonts w:hint="eastAsia" w:ascii="宋体" w:hAnsi="宋体"/>
          <w:bCs/>
        </w:rPr>
        <w:t>1.3 维保服务结算总价计算公式：</w:t>
      </w:r>
    </w:p>
    <w:p>
      <w:pPr>
        <w:adjustRightInd w:val="0"/>
        <w:snapToGrid w:val="0"/>
        <w:spacing w:line="360" w:lineRule="auto"/>
        <w:ind w:firstLine="480" w:firstLineChars="200"/>
        <w:jc w:val="left"/>
        <w:rPr>
          <w:rFonts w:ascii="宋体" w:hAnsi="宋体"/>
          <w:bCs/>
        </w:rPr>
      </w:pPr>
      <w:r>
        <w:rPr>
          <w:rFonts w:hint="eastAsia" w:ascii="宋体" w:hAnsi="宋体"/>
          <w:bCs/>
        </w:rPr>
        <w:t>维保结算总价＝</w:t>
      </w:r>
      <w:r>
        <w:rPr>
          <w:rFonts w:ascii="宋体" w:hAnsi="宋体"/>
          <w:bCs/>
        </w:rPr>
        <w:t>74</w:t>
      </w:r>
      <w:r>
        <w:rPr>
          <w:rFonts w:hint="eastAsia" w:ascii="宋体" w:hAnsi="宋体"/>
          <w:bCs/>
        </w:rPr>
        <w:t>0000元×维保服务折扣；</w:t>
      </w:r>
    </w:p>
    <w:p>
      <w:pPr>
        <w:adjustRightInd w:val="0"/>
        <w:snapToGrid w:val="0"/>
        <w:spacing w:line="360" w:lineRule="auto"/>
        <w:ind w:firstLine="480" w:firstLineChars="200"/>
        <w:jc w:val="left"/>
        <w:rPr>
          <w:rFonts w:ascii="宋体" w:hAnsi="宋体"/>
          <w:bCs/>
        </w:rPr>
      </w:pPr>
      <w:r>
        <w:rPr>
          <w:rFonts w:hint="eastAsia" w:ascii="宋体" w:hAnsi="宋体"/>
          <w:bCs/>
        </w:rPr>
        <w:t>1.4 投标人投标文件中列明的单台设备维保费用明细作为合同附件，与合同具有同等法律效力。</w:t>
      </w:r>
    </w:p>
    <w:p>
      <w:pPr>
        <w:spacing w:line="360" w:lineRule="auto"/>
        <w:jc w:val="center"/>
        <w:outlineLvl w:val="1"/>
        <w:rPr>
          <w:rFonts w:ascii="宋体" w:hAnsi="宋体"/>
          <w:b/>
          <w:sz w:val="36"/>
          <w:szCs w:val="36"/>
          <w:lang w:val="zh-CN"/>
        </w:rPr>
      </w:pPr>
      <w:r>
        <w:rPr>
          <w:rFonts w:ascii="宋体" w:hAnsi="宋体"/>
          <w:b/>
          <w:sz w:val="36"/>
          <w:szCs w:val="36"/>
          <w:lang w:val="zh-CN"/>
        </w:rPr>
        <w:br w:type="page"/>
      </w:r>
      <w:r>
        <w:rPr>
          <w:rFonts w:hint="eastAsia" w:ascii="宋体" w:hAnsi="宋体"/>
          <w:b/>
          <w:sz w:val="36"/>
          <w:szCs w:val="36"/>
          <w:lang w:val="zh-CN"/>
        </w:rPr>
        <w:t>报价表</w:t>
      </w:r>
    </w:p>
    <w:p>
      <w:pPr>
        <w:autoSpaceDE w:val="0"/>
        <w:autoSpaceDN w:val="0"/>
        <w:spacing w:line="360" w:lineRule="auto"/>
        <w:ind w:left="-2"/>
        <w:rPr>
          <w:rFonts w:ascii="宋体" w:hAnsi="宋体"/>
          <w:lang w:val="zh-CN"/>
        </w:rPr>
      </w:pPr>
      <w:r>
        <w:rPr>
          <w:rFonts w:hint="eastAsia" w:ascii="宋体" w:hAnsi="宋体"/>
          <w:lang w:val="zh-CN"/>
        </w:rPr>
        <w:t>项目名称：</w:t>
      </w:r>
      <w:r>
        <w:rPr>
          <w:rFonts w:hint="eastAsia" w:ascii="宋体" w:hAnsi="宋体"/>
          <w:u w:val="single"/>
          <w:lang w:val="zh-CN"/>
        </w:rPr>
        <w:t xml:space="preserve">          </w:t>
      </w:r>
    </w:p>
    <w:p>
      <w:pPr>
        <w:autoSpaceDE w:val="0"/>
        <w:autoSpaceDN w:val="0"/>
        <w:spacing w:line="360" w:lineRule="auto"/>
        <w:ind w:left="-2"/>
        <w:rPr>
          <w:rFonts w:ascii="宋体" w:hAnsi="宋体"/>
          <w:u w:val="single"/>
          <w:lang w:val="zh-CN"/>
        </w:rPr>
      </w:pPr>
      <w:r>
        <w:rPr>
          <w:rFonts w:hint="eastAsia" w:ascii="宋体" w:hAnsi="宋体"/>
          <w:lang w:val="zh-CN"/>
        </w:rPr>
        <w:t>项目编号：</w:t>
      </w:r>
      <w:r>
        <w:rPr>
          <w:rFonts w:hint="eastAsia" w:ascii="宋体" w:hAnsi="宋体"/>
          <w:u w:val="single"/>
          <w:lang w:val="zh-CN"/>
        </w:rPr>
        <w:t xml:space="preserve">          </w:t>
      </w:r>
    </w:p>
    <w:tbl>
      <w:tblPr>
        <w:tblStyle w:val="30"/>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7"/>
        <w:gridCol w:w="6223"/>
        <w:gridCol w:w="1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blHeader/>
          <w:jc w:val="center"/>
        </w:trPr>
        <w:tc>
          <w:tcPr>
            <w:tcW w:w="1180" w:type="pct"/>
            <w:vAlign w:val="center"/>
          </w:tcPr>
          <w:p>
            <w:pPr>
              <w:spacing w:line="360" w:lineRule="auto"/>
              <w:jc w:val="center"/>
              <w:rPr>
                <w:rFonts w:ascii="宋体" w:hAnsi="宋体" w:cs="宋体"/>
                <w:b/>
                <w:bCs/>
                <w:lang w:val="en-GB"/>
              </w:rPr>
            </w:pPr>
            <w:r>
              <w:rPr>
                <w:rFonts w:hint="eastAsia" w:ascii="宋体" w:hAnsi="宋体" w:cs="宋体"/>
                <w:b/>
                <w:bCs/>
                <w:lang w:val="en-GB"/>
              </w:rPr>
              <w:t>项目名称</w:t>
            </w:r>
          </w:p>
        </w:tc>
        <w:tc>
          <w:tcPr>
            <w:tcW w:w="3129" w:type="pct"/>
            <w:vAlign w:val="center"/>
          </w:tcPr>
          <w:p>
            <w:pPr>
              <w:spacing w:line="360" w:lineRule="auto"/>
              <w:jc w:val="center"/>
              <w:rPr>
                <w:rFonts w:ascii="宋体" w:hAnsi="宋体" w:cs="宋体"/>
                <w:b/>
                <w:bCs/>
              </w:rPr>
            </w:pPr>
            <w:r>
              <w:rPr>
                <w:rFonts w:hint="eastAsia" w:ascii="宋体" w:hAnsi="宋体" w:cs="宋体"/>
                <w:b/>
                <w:bCs/>
              </w:rPr>
              <w:t>投标报价（折扣）</w:t>
            </w:r>
          </w:p>
        </w:tc>
        <w:tc>
          <w:tcPr>
            <w:tcW w:w="691" w:type="pct"/>
            <w:vAlign w:val="center"/>
          </w:tcPr>
          <w:p>
            <w:pPr>
              <w:spacing w:line="360" w:lineRule="auto"/>
              <w:jc w:val="center"/>
              <w:rPr>
                <w:rFonts w:ascii="宋体" w:hAnsi="宋体" w:cs="宋体"/>
                <w:b/>
                <w:bCs/>
              </w:rPr>
            </w:pPr>
            <w:r>
              <w:rPr>
                <w:rFonts w:hint="eastAsia" w:ascii="宋体" w:hAnsi="宋体" w:cs="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180" w:type="pct"/>
            <w:vMerge w:val="restart"/>
            <w:vAlign w:val="center"/>
          </w:tcPr>
          <w:p>
            <w:pPr>
              <w:spacing w:line="360" w:lineRule="auto"/>
              <w:rPr>
                <w:rFonts w:ascii="宋体" w:hAnsi="宋体" w:cs="宋体"/>
                <w:lang w:val="en-GB"/>
              </w:rPr>
            </w:pPr>
            <w:r>
              <w:rPr>
                <w:rFonts w:hint="eastAsia" w:ascii="宋体" w:hAnsi="宋体"/>
                <w:bCs/>
              </w:rPr>
              <w:t>广州海关技术中心2026年实验室仪器设备维保服务项目（子包2）</w:t>
            </w:r>
          </w:p>
        </w:tc>
        <w:tc>
          <w:tcPr>
            <w:tcW w:w="3129" w:type="pct"/>
            <w:vAlign w:val="center"/>
          </w:tcPr>
          <w:p>
            <w:pPr>
              <w:spacing w:line="360" w:lineRule="auto"/>
              <w:rPr>
                <w:rFonts w:ascii="宋体" w:hAnsi="宋体" w:cs="宋体"/>
                <w:lang w:val="en-GB"/>
              </w:rPr>
            </w:pPr>
            <w:r>
              <w:rPr>
                <w:rFonts w:hint="eastAsia" w:ascii="宋体" w:hAnsi="宋体"/>
                <w:bCs/>
              </w:rPr>
              <w:t>维保服务折扣（即最终折扣）</w:t>
            </w:r>
            <w:r>
              <w:rPr>
                <w:rFonts w:hint="eastAsia" w:ascii="宋体" w:hAnsi="宋体" w:cs="宋体"/>
                <w:lang w:val="en-GB"/>
              </w:rPr>
              <w:t>：</w:t>
            </w:r>
            <w:r>
              <w:rPr>
                <w:rFonts w:hint="eastAsia" w:ascii="宋体" w:hAnsi="宋体" w:cs="宋体"/>
                <w:u w:val="single"/>
                <w:lang w:val="en-GB"/>
              </w:rPr>
              <w:t xml:space="preserve"> </w:t>
            </w:r>
            <w:r>
              <w:rPr>
                <w:rFonts w:ascii="宋体" w:hAnsi="宋体" w:cs="宋体"/>
                <w:u w:val="single"/>
                <w:lang w:val="en-GB"/>
              </w:rPr>
              <w:t xml:space="preserve">     </w:t>
            </w:r>
            <w:r>
              <w:rPr>
                <w:rFonts w:hint="eastAsia" w:ascii="宋体" w:hAnsi="宋体" w:cs="宋体"/>
                <w:lang w:val="en-GB"/>
              </w:rPr>
              <w:t>%</w:t>
            </w:r>
          </w:p>
        </w:tc>
        <w:tc>
          <w:tcPr>
            <w:tcW w:w="691" w:type="pct"/>
            <w:vMerge w:val="restart"/>
            <w:vAlign w:val="center"/>
          </w:tcPr>
          <w:p>
            <w:pPr>
              <w:spacing w:line="360" w:lineRule="auto"/>
              <w:jc w:val="center"/>
              <w:rPr>
                <w:rFonts w:ascii="宋体" w:hAnsi="宋体" w:cs="宋体"/>
                <w:lang w:val="en-GB"/>
              </w:rPr>
            </w:pPr>
            <w:r>
              <w:rPr>
                <w:rFonts w:hint="eastAsia" w:ascii="宋体" w:hAnsi="宋体" w:cs="宋体"/>
                <w:b/>
                <w:bCs/>
                <w:kern w:val="0"/>
              </w:rPr>
              <w:t>报价为含税价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1180" w:type="pct"/>
            <w:vMerge w:val="continue"/>
            <w:vAlign w:val="center"/>
          </w:tcPr>
          <w:p>
            <w:pPr>
              <w:spacing w:line="360" w:lineRule="auto"/>
              <w:rPr>
                <w:rFonts w:ascii="宋体" w:hAnsi="宋体" w:cs="宋体"/>
              </w:rPr>
            </w:pPr>
          </w:p>
        </w:tc>
        <w:tc>
          <w:tcPr>
            <w:tcW w:w="3129" w:type="pct"/>
            <w:vAlign w:val="center"/>
          </w:tcPr>
          <w:p>
            <w:pPr>
              <w:spacing w:line="360" w:lineRule="auto"/>
              <w:rPr>
                <w:rFonts w:ascii="宋体" w:hAnsi="宋体" w:cs="宋体"/>
                <w:lang w:val="en-GB"/>
              </w:rPr>
            </w:pPr>
            <w:r>
              <w:rPr>
                <w:rFonts w:hint="eastAsia" w:ascii="宋体" w:hAnsi="宋体" w:cs="宋体"/>
                <w:lang w:val="en-GB"/>
              </w:rPr>
              <w:t>维保总价：</w:t>
            </w:r>
            <w:r>
              <w:rPr>
                <w:rFonts w:hint="eastAsia" w:ascii="宋体" w:hAnsi="宋体" w:cs="宋体"/>
                <w:u w:val="single"/>
                <w:lang w:val="en-GB"/>
              </w:rPr>
              <w:t xml:space="preserve"> </w:t>
            </w:r>
            <w:r>
              <w:rPr>
                <w:rFonts w:ascii="宋体" w:hAnsi="宋体" w:cs="宋体"/>
                <w:u w:val="single"/>
                <w:lang w:val="en-GB"/>
              </w:rPr>
              <w:t xml:space="preserve">        </w:t>
            </w:r>
            <w:r>
              <w:rPr>
                <w:rFonts w:ascii="宋体" w:hAnsi="宋体" w:cs="宋体"/>
                <w:lang w:val="en-GB"/>
              </w:rPr>
              <w:t xml:space="preserve"> </w:t>
            </w:r>
            <w:r>
              <w:rPr>
                <w:rFonts w:hint="eastAsia" w:ascii="宋体" w:hAnsi="宋体" w:cs="宋体"/>
                <w:lang w:val="en-GB"/>
              </w:rPr>
              <w:t>万元</w:t>
            </w:r>
          </w:p>
        </w:tc>
        <w:tc>
          <w:tcPr>
            <w:tcW w:w="691" w:type="pct"/>
            <w:vMerge w:val="continue"/>
            <w:vAlign w:val="center"/>
          </w:tcPr>
          <w:p>
            <w:pPr>
              <w:spacing w:line="360" w:lineRule="auto"/>
              <w:jc w:val="center"/>
              <w:rPr>
                <w:rFonts w:ascii="宋体" w:hAnsi="宋体" w:cs="宋体"/>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1180" w:type="pct"/>
            <w:vMerge w:val="continue"/>
            <w:vAlign w:val="center"/>
          </w:tcPr>
          <w:p>
            <w:pPr>
              <w:spacing w:line="360" w:lineRule="auto"/>
              <w:rPr>
                <w:rFonts w:ascii="宋体" w:hAnsi="宋体" w:cs="宋体"/>
                <w:lang w:val="en-GB"/>
              </w:rPr>
            </w:pPr>
          </w:p>
        </w:tc>
        <w:tc>
          <w:tcPr>
            <w:tcW w:w="3129" w:type="pct"/>
            <w:vAlign w:val="center"/>
          </w:tcPr>
          <w:p>
            <w:pPr>
              <w:spacing w:line="360" w:lineRule="auto"/>
              <w:rPr>
                <w:rFonts w:ascii="宋体" w:hAnsi="宋体" w:cs="宋体"/>
              </w:rPr>
            </w:pPr>
            <w:r>
              <w:rPr>
                <w:rFonts w:hint="eastAsia" w:ascii="宋体" w:hAnsi="宋体" w:cs="宋体"/>
                <w:b/>
                <w:bCs/>
              </w:rPr>
              <w:t>增值税税点：</w:t>
            </w:r>
            <w:r>
              <w:rPr>
                <w:rFonts w:hint="eastAsia" w:ascii="宋体" w:hAnsi="宋体" w:cs="宋体"/>
                <w:b/>
                <w:bCs/>
                <w:u w:val="single"/>
              </w:rPr>
              <w:t xml:space="preserve">    %</w:t>
            </w:r>
            <w:r>
              <w:rPr>
                <w:rFonts w:hint="eastAsia" w:ascii="宋体" w:hAnsi="宋体" w:cs="宋体"/>
                <w:b/>
                <w:bCs/>
              </w:rPr>
              <w:t>（必须填报）。</w:t>
            </w:r>
          </w:p>
        </w:tc>
        <w:tc>
          <w:tcPr>
            <w:tcW w:w="691" w:type="pct"/>
            <w:vMerge w:val="continue"/>
            <w:vAlign w:val="center"/>
          </w:tcPr>
          <w:p>
            <w:pPr>
              <w:spacing w:line="360" w:lineRule="auto"/>
              <w:jc w:val="center"/>
              <w:rPr>
                <w:rFonts w:ascii="宋体" w:hAnsi="宋体" w:cs="宋体"/>
                <w:lang w:val="en-GB"/>
              </w:rPr>
            </w:pPr>
          </w:p>
        </w:tc>
      </w:tr>
    </w:tbl>
    <w:p>
      <w:pPr>
        <w:spacing w:line="360" w:lineRule="auto"/>
        <w:rPr>
          <w:b/>
          <w:bCs/>
        </w:rPr>
      </w:pPr>
      <w:r>
        <w:rPr>
          <w:rFonts w:hint="eastAsia"/>
          <w:b/>
          <w:bCs/>
        </w:rPr>
        <w:t>注：1.投标人必须按报价表的格式填写，不得增加或删除表格内容。除金额或项目要求填写的内容外，不得擅自改动报价表内容，否则将有可能影响中标结果，不推荐为中标候选人。</w:t>
      </w:r>
    </w:p>
    <w:p>
      <w:pPr>
        <w:spacing w:line="360" w:lineRule="auto"/>
        <w:ind w:firstLine="482" w:firstLineChars="200"/>
        <w:rPr>
          <w:b/>
          <w:bCs/>
        </w:rPr>
      </w:pPr>
      <w:r>
        <w:rPr>
          <w:rFonts w:hint="eastAsia"/>
          <w:b/>
          <w:bCs/>
        </w:rPr>
        <w:t>2.所有价格均为含税价。</w:t>
      </w:r>
    </w:p>
    <w:p>
      <w:pPr>
        <w:spacing w:line="360" w:lineRule="auto"/>
        <w:ind w:firstLine="482" w:firstLineChars="200"/>
        <w:rPr>
          <w:b/>
          <w:bCs/>
        </w:rPr>
      </w:pPr>
      <w:r>
        <w:rPr>
          <w:rFonts w:hint="eastAsia"/>
          <w:b/>
          <w:bCs/>
        </w:rPr>
        <w:t>3.平台报价与报价表不一致的，以平台报价为准，请投标人谨慎报价。</w:t>
      </w:r>
    </w:p>
    <w:p>
      <w:pPr>
        <w:spacing w:line="360" w:lineRule="auto"/>
        <w:ind w:firstLine="482" w:firstLineChars="200"/>
        <w:rPr>
          <w:b/>
          <w:bCs/>
          <w:u w:val="single"/>
        </w:rPr>
      </w:pPr>
      <w:r>
        <w:rPr>
          <w:rFonts w:hint="eastAsia"/>
          <w:b/>
          <w:bCs/>
          <w:u w:val="single"/>
        </w:rPr>
        <w:t>4.在系统后台填写报价时，仅需录入最终折扣，同时在投标文件中提供本报价表即可。</w:t>
      </w:r>
    </w:p>
    <w:p>
      <w:pPr>
        <w:spacing w:line="360" w:lineRule="auto"/>
        <w:ind w:firstLine="482" w:firstLineChars="200"/>
        <w:rPr>
          <w:b/>
          <w:bCs/>
          <w:lang w:val="zh-CN"/>
        </w:rPr>
      </w:pPr>
      <w:r>
        <w:rPr>
          <w:rFonts w:hint="eastAsia"/>
          <w:b/>
          <w:bCs/>
        </w:rPr>
        <w:t>5</w:t>
      </w:r>
      <w:r>
        <w:rPr>
          <w:rFonts w:hint="eastAsia"/>
          <w:b/>
          <w:bCs/>
          <w:lang w:val="zh-CN"/>
        </w:rPr>
        <w:t>.</w:t>
      </w:r>
      <w:r>
        <w:rPr>
          <w:rFonts w:hint="eastAsia"/>
          <w:b/>
          <w:bCs/>
        </w:rPr>
        <w:t>报价表必须加盖单位公章，否则视为无效报价。</w:t>
      </w:r>
    </w:p>
    <w:p>
      <w:pPr>
        <w:autoSpaceDE w:val="0"/>
        <w:autoSpaceDN w:val="0"/>
        <w:spacing w:line="360" w:lineRule="auto"/>
        <w:rPr>
          <w:rFonts w:ascii="宋体" w:hAnsi="宋体"/>
          <w:lang w:val="zh-CN"/>
        </w:rPr>
      </w:pPr>
    </w:p>
    <w:p>
      <w:pPr>
        <w:spacing w:line="360" w:lineRule="auto"/>
        <w:rPr>
          <w:rFonts w:ascii="宋体" w:hAnsi="宋体"/>
        </w:rPr>
      </w:pPr>
    </w:p>
    <w:p>
      <w:pPr>
        <w:spacing w:line="360" w:lineRule="auto"/>
        <w:rPr>
          <w:rFonts w:ascii="宋体" w:hAnsi="宋体"/>
        </w:rPr>
      </w:pPr>
    </w:p>
    <w:p>
      <w:pPr>
        <w:spacing w:line="360" w:lineRule="auto"/>
        <w:rPr>
          <w:rFonts w:ascii="宋体" w:hAnsi="宋体"/>
        </w:rPr>
      </w:pPr>
      <w:r>
        <w:rPr>
          <w:rFonts w:hint="eastAsia" w:ascii="宋体" w:hAnsi="宋体"/>
        </w:rPr>
        <w:t>供应商名称（</w:t>
      </w:r>
      <w:r>
        <w:rPr>
          <w:rFonts w:hint="eastAsia" w:ascii="宋体" w:hAnsi="宋体" w:cs="宋体"/>
        </w:rPr>
        <w:t>单位盖</w:t>
      </w:r>
      <w:r>
        <w:rPr>
          <w:rFonts w:hint="eastAsia" w:ascii="宋体" w:hAnsi="宋体" w:cs="宋体"/>
          <w:spacing w:val="4"/>
        </w:rPr>
        <w:t>公章</w:t>
      </w:r>
      <w:r>
        <w:rPr>
          <w:rFonts w:hint="eastAsia" w:ascii="宋体" w:hAnsi="宋体"/>
        </w:rPr>
        <w:t>）：</w:t>
      </w:r>
    </w:p>
    <w:p>
      <w:pPr>
        <w:spacing w:line="360" w:lineRule="auto"/>
        <w:rPr>
          <w:rFonts w:ascii="宋体" w:hAnsi="宋体"/>
        </w:rPr>
      </w:pPr>
      <w:r>
        <w:rPr>
          <w:rFonts w:hint="eastAsia" w:ascii="宋体" w:hAnsi="宋体"/>
        </w:rPr>
        <w:t>日    期：    年   月   日</w:t>
      </w:r>
    </w:p>
    <w:p/>
    <w:p>
      <w:pPr>
        <w:pStyle w:val="29"/>
        <w:ind w:left="0" w:leftChars="0" w:firstLine="0" w:firstLineChars="0"/>
        <w:rPr>
          <w:b/>
          <w:bCs/>
        </w:rPr>
      </w:pPr>
      <w:r>
        <w:rPr>
          <w:rFonts w:ascii="宋体" w:hAnsi="宋体"/>
          <w:b/>
          <w:bCs/>
          <w:sz w:val="24"/>
        </w:rPr>
        <w:br w:type="page"/>
      </w:r>
    </w:p>
    <w:p>
      <w:pPr>
        <w:autoSpaceDN w:val="0"/>
        <w:spacing w:line="360" w:lineRule="auto"/>
        <w:ind w:firstLine="482" w:firstLineChars="200"/>
        <w:outlineLvl w:val="2"/>
        <w:rPr>
          <w:rFonts w:ascii="宋体" w:cs="宋体"/>
          <w:b/>
          <w:bCs/>
        </w:rPr>
      </w:pPr>
      <w:r>
        <w:rPr>
          <w:rFonts w:hint="eastAsia" w:ascii="宋体" w:cs="宋体"/>
          <w:b/>
          <w:bCs/>
        </w:rPr>
        <w:t>三、项目概况</w:t>
      </w:r>
    </w:p>
    <w:p>
      <w:pPr>
        <w:spacing w:line="360" w:lineRule="auto"/>
        <w:ind w:left="2" w:firstLine="482" w:firstLineChars="200"/>
        <w:jc w:val="left"/>
        <w:rPr>
          <w:rFonts w:ascii="宋体" w:hAnsi="宋体"/>
          <w:b/>
        </w:rPr>
      </w:pPr>
      <w:r>
        <w:rPr>
          <w:rFonts w:hint="eastAsia" w:ascii="宋体" w:hAnsi="宋体"/>
          <w:b/>
        </w:rPr>
        <w:t>注：带“★”号条款为实质性响应条款，不满足将导致投标无效。带“▲”号条款为重要服务条款，任何偏离将导致严重扣分。</w:t>
      </w:r>
    </w:p>
    <w:p>
      <w:pPr>
        <w:adjustRightInd w:val="0"/>
        <w:snapToGrid w:val="0"/>
        <w:spacing w:line="360" w:lineRule="auto"/>
        <w:jc w:val="left"/>
        <w:rPr>
          <w:rFonts w:ascii="宋体" w:hAnsi="宋体"/>
          <w:b/>
          <w:bCs/>
        </w:rPr>
      </w:pPr>
      <w:r>
        <w:rPr>
          <w:rFonts w:hint="eastAsia" w:ascii="宋体" w:hAnsi="宋体"/>
          <w:b/>
          <w:bCs/>
        </w:rPr>
        <w:t>（一）服务要求</w:t>
      </w:r>
    </w:p>
    <w:p>
      <w:pPr>
        <w:spacing w:line="360" w:lineRule="auto"/>
        <w:ind w:left="2"/>
        <w:jc w:val="left"/>
        <w:rPr>
          <w:rFonts w:ascii="宋体" w:hAnsi="宋体"/>
          <w:b/>
        </w:rPr>
      </w:pPr>
      <w:r>
        <w:rPr>
          <w:rFonts w:hint="eastAsia" w:ascii="宋体" w:hAnsi="宋体"/>
          <w:b/>
        </w:rPr>
        <w:t>采购包1 广州海关技术中心2026年度实验室仪器设备维保服务（子包2）</w:t>
      </w:r>
    </w:p>
    <w:p>
      <w:pPr>
        <w:adjustRightInd w:val="0"/>
        <w:snapToGrid w:val="0"/>
        <w:spacing w:line="360" w:lineRule="auto"/>
        <w:ind w:left="360" w:hanging="360" w:hangingChars="150"/>
        <w:jc w:val="left"/>
        <w:rPr>
          <w:rFonts w:ascii="宋体" w:hAnsi="宋体"/>
          <w:bCs/>
        </w:rPr>
      </w:pPr>
      <w:r>
        <w:rPr>
          <w:rFonts w:hint="eastAsia" w:ascii="宋体" w:hAnsi="宋体"/>
          <w:bCs/>
        </w:rPr>
        <w:t>★1. 本</w:t>
      </w:r>
      <w:r>
        <w:rPr>
          <w:rFonts w:ascii="宋体" w:hAnsi="宋体"/>
          <w:bCs/>
        </w:rPr>
        <w:t>项目</w:t>
      </w:r>
      <w:r>
        <w:rPr>
          <w:rFonts w:hint="eastAsia" w:ascii="宋体" w:hAnsi="宋体"/>
          <w:bCs/>
        </w:rPr>
        <w:t>设备</w:t>
      </w:r>
      <w:r>
        <w:rPr>
          <w:rFonts w:ascii="宋体" w:hAnsi="宋体"/>
          <w:bCs/>
        </w:rPr>
        <w:t>维保服务包括</w:t>
      </w:r>
      <w:r>
        <w:rPr>
          <w:rFonts w:hint="eastAsia" w:ascii="宋体" w:hAnsi="宋体"/>
          <w:bCs/>
        </w:rPr>
        <w:t>（在投标文件中提供承诺函，格式自拟）：</w:t>
      </w:r>
    </w:p>
    <w:p>
      <w:pPr>
        <w:adjustRightInd w:val="0"/>
        <w:snapToGrid w:val="0"/>
        <w:spacing w:line="360" w:lineRule="auto"/>
        <w:ind w:firstLine="480" w:firstLineChars="200"/>
        <w:jc w:val="left"/>
        <w:rPr>
          <w:rFonts w:ascii="宋体" w:hAnsi="宋体"/>
          <w:bCs/>
        </w:rPr>
      </w:pPr>
      <w:r>
        <w:rPr>
          <w:rFonts w:ascii="宋体" w:hAnsi="宋体"/>
          <w:bCs/>
        </w:rPr>
        <w:t>1.</w:t>
      </w:r>
      <w:r>
        <w:rPr>
          <w:rFonts w:hint="eastAsia" w:ascii="宋体" w:hAnsi="宋体"/>
          <w:bCs/>
        </w:rPr>
        <w:t>1</w:t>
      </w:r>
      <w:r>
        <w:rPr>
          <w:rFonts w:ascii="宋体" w:hAnsi="宋体"/>
          <w:bCs/>
        </w:rPr>
        <w:t>维保服务</w:t>
      </w:r>
      <w:r>
        <w:rPr>
          <w:rFonts w:hint="eastAsia" w:ascii="宋体" w:hAnsi="宋体"/>
          <w:bCs/>
        </w:rPr>
        <w:t>（维修和维保服务全包。维保服务设备范围详见附件1维保服务设备清单，共</w:t>
      </w:r>
      <w:r>
        <w:rPr>
          <w:rFonts w:ascii="宋体" w:hAnsi="宋体"/>
          <w:bCs/>
        </w:rPr>
        <w:t>8</w:t>
      </w:r>
      <w:r>
        <w:rPr>
          <w:rFonts w:hint="eastAsia" w:ascii="宋体" w:hAnsi="宋体"/>
          <w:bCs/>
        </w:rPr>
        <w:t>台）。中标人须整体承担本项目所列设备的维保服务，包括清单内设备的故障维修、维护保养和技术支持：</w:t>
      </w:r>
    </w:p>
    <w:p>
      <w:pPr>
        <w:adjustRightInd w:val="0"/>
        <w:snapToGrid w:val="0"/>
        <w:spacing w:line="360" w:lineRule="auto"/>
        <w:ind w:firstLine="480" w:firstLineChars="200"/>
        <w:jc w:val="left"/>
        <w:rPr>
          <w:rFonts w:ascii="宋体" w:hAnsi="宋体"/>
          <w:bCs/>
        </w:rPr>
      </w:pPr>
      <w:r>
        <w:rPr>
          <w:rFonts w:hint="eastAsia" w:ascii="宋体" w:hAnsi="宋体"/>
          <w:bCs/>
        </w:rPr>
        <w:t>1</w:t>
      </w:r>
      <w:r>
        <w:rPr>
          <w:rFonts w:ascii="宋体" w:hAnsi="宋体"/>
          <w:bCs/>
        </w:rPr>
        <w:t xml:space="preserve">.2 </w:t>
      </w:r>
      <w:r>
        <w:rPr>
          <w:rFonts w:hint="eastAsia" w:ascii="宋体" w:hAnsi="宋体"/>
          <w:bCs/>
        </w:rPr>
        <w:t>故障维修：接到报修后按约定响应时间到场，检查、故障排除、维修、调试等，确保设备恢复正常使用。</w:t>
      </w:r>
    </w:p>
    <w:p>
      <w:pPr>
        <w:adjustRightInd w:val="0"/>
        <w:snapToGrid w:val="0"/>
        <w:spacing w:line="360" w:lineRule="auto"/>
        <w:ind w:firstLine="480" w:firstLineChars="200"/>
        <w:jc w:val="left"/>
        <w:rPr>
          <w:rFonts w:ascii="宋体" w:hAnsi="宋体"/>
          <w:bCs/>
        </w:rPr>
      </w:pPr>
      <w:r>
        <w:rPr>
          <w:rFonts w:hint="eastAsia" w:ascii="宋体" w:hAnsi="宋体"/>
          <w:bCs/>
        </w:rPr>
        <w:t>1</w:t>
      </w:r>
      <w:r>
        <w:rPr>
          <w:rFonts w:ascii="宋体" w:hAnsi="宋体"/>
          <w:bCs/>
        </w:rPr>
        <w:t xml:space="preserve">.3 </w:t>
      </w:r>
      <w:r>
        <w:rPr>
          <w:rFonts w:hint="eastAsia" w:ascii="宋体" w:hAnsi="宋体"/>
          <w:bCs/>
        </w:rPr>
        <w:t>维护保养：每季度安排技术工程师到现场进行巡查，包括设备检查、维护保养和使用技术支持等</w:t>
      </w:r>
      <w:r>
        <w:rPr>
          <w:rFonts w:hint="eastAsia"/>
          <w:szCs w:val="28"/>
        </w:rPr>
        <w:t>预防性维护工作</w:t>
      </w:r>
      <w:r>
        <w:rPr>
          <w:rFonts w:hint="eastAsia" w:ascii="宋体" w:hAnsi="宋体"/>
          <w:bCs/>
        </w:rPr>
        <w:t>，以保证设备处于最佳运行状态。每次巡查、维护保养后需做好记录，双方签名确认。</w:t>
      </w:r>
    </w:p>
    <w:p>
      <w:pPr>
        <w:adjustRightInd w:val="0"/>
        <w:snapToGrid w:val="0"/>
        <w:spacing w:line="360" w:lineRule="auto"/>
        <w:ind w:firstLine="480" w:firstLineChars="200"/>
        <w:jc w:val="left"/>
        <w:rPr>
          <w:rFonts w:ascii="宋体" w:hAnsi="宋体"/>
          <w:bCs/>
        </w:rPr>
      </w:pPr>
      <w:r>
        <w:rPr>
          <w:rFonts w:hint="eastAsia" w:ascii="宋体" w:hAnsi="宋体"/>
          <w:bCs/>
        </w:rPr>
        <w:t>1</w:t>
      </w:r>
      <w:r>
        <w:rPr>
          <w:rFonts w:ascii="宋体" w:hAnsi="宋体"/>
          <w:bCs/>
        </w:rPr>
        <w:t xml:space="preserve">.4 </w:t>
      </w:r>
      <w:r>
        <w:rPr>
          <w:rFonts w:hint="eastAsia" w:ascii="宋体" w:hAnsi="宋体"/>
          <w:bCs/>
        </w:rPr>
        <w:t>全包范围：维保服务费包括所有工时费、差旅费、上门费、保养费用，</w:t>
      </w:r>
      <w:r>
        <w:rPr>
          <w:rFonts w:ascii="宋体" w:hAnsi="宋体"/>
          <w:bCs/>
        </w:rPr>
        <w:t>以及</w:t>
      </w:r>
      <w:r>
        <w:rPr>
          <w:rFonts w:hint="eastAsia" w:ascii="宋体" w:hAnsi="宋体"/>
          <w:bCs/>
        </w:rPr>
        <w:t>维修所需的全部零部件费（如电路板、电磁阀、步进马达等），维保服务中的维修应包含衬管、灯丝等消耗品（清单详见附件</w:t>
      </w:r>
      <w:r>
        <w:rPr>
          <w:rFonts w:ascii="宋体" w:hAnsi="宋体"/>
          <w:bCs/>
        </w:rPr>
        <w:t>2</w:t>
      </w:r>
      <w:r>
        <w:rPr>
          <w:rFonts w:hint="eastAsia" w:ascii="宋体" w:hAnsi="宋体"/>
          <w:bCs/>
        </w:rPr>
        <w:t>）。中标人应考虑所有成本，采购人不再另行支付其他费用。</w:t>
      </w:r>
    </w:p>
    <w:p>
      <w:pPr>
        <w:adjustRightInd w:val="0"/>
        <w:snapToGrid w:val="0"/>
        <w:spacing w:line="360" w:lineRule="auto"/>
        <w:jc w:val="left"/>
        <w:rPr>
          <w:rFonts w:ascii="宋体" w:hAnsi="宋体"/>
          <w:bCs/>
          <w:sz w:val="28"/>
          <w:szCs w:val="24"/>
        </w:rPr>
      </w:pPr>
    </w:p>
    <w:p>
      <w:pPr>
        <w:adjustRightInd w:val="0"/>
        <w:snapToGrid w:val="0"/>
        <w:spacing w:line="360" w:lineRule="auto"/>
        <w:ind w:left="77" w:leftChars="32" w:firstLine="480" w:firstLineChars="200"/>
        <w:jc w:val="left"/>
        <w:rPr>
          <w:rFonts w:ascii="宋体" w:hAnsi="宋体"/>
          <w:bCs/>
        </w:rPr>
      </w:pPr>
      <w:r>
        <w:rPr>
          <w:rFonts w:hint="eastAsia" w:ascii="宋体" w:hAnsi="宋体"/>
          <w:bCs/>
        </w:rPr>
        <w:t>★2. 中标人在提供维保、维修服务过程中所提供的备件需为设备原厂、全新未拆装的、符合国家质量标准或行业标准的配件及耗材。（中标人在实际供货时，若被发现提供的货物不具备合法手续或未能达到招标文件和投标文件中的有关要求，将按有关法律法规进行处罚。）维修更换的零部件自验收合格之日起提供</w:t>
      </w:r>
      <w:r>
        <w:rPr>
          <w:rFonts w:hint="eastAsia" w:ascii="宋体" w:hAnsi="宋体"/>
          <w:b/>
          <w:bCs/>
        </w:rPr>
        <w:t>六个月</w:t>
      </w:r>
      <w:r>
        <w:rPr>
          <w:rFonts w:hint="eastAsia" w:ascii="宋体" w:hAnsi="宋体"/>
          <w:bCs/>
        </w:rPr>
        <w:t>的保修期（若零部件说明书或相关规定、规格、标准等要求的保修期更长、则以更长的保修期为准）。（在投标文件中提供承诺函，格式自拟）</w:t>
      </w:r>
    </w:p>
    <w:p>
      <w:pPr>
        <w:adjustRightInd w:val="0"/>
        <w:snapToGrid w:val="0"/>
        <w:spacing w:line="360" w:lineRule="auto"/>
        <w:ind w:firstLine="480" w:firstLineChars="200"/>
        <w:jc w:val="left"/>
        <w:rPr>
          <w:rFonts w:ascii="宋体" w:hAnsi="宋体"/>
          <w:bCs/>
        </w:rPr>
      </w:pPr>
      <w:r>
        <w:rPr>
          <w:rFonts w:hint="eastAsia" w:ascii="宋体" w:hAnsi="宋体"/>
          <w:bCs/>
        </w:rPr>
        <w:t>3. 中标人须在本项目中投入具备相应技术资质的工程师（投标人应在投标文件中提供相关自有技术人员的培训记录/证明扫描件及人员在投标人服务的外部证明材料扫描件，如投标截止日之前六个月以内任意月份参加社会保险的《投保单》或《社会保险参保人员证明》等并加盖公章）。</w:t>
      </w:r>
    </w:p>
    <w:p>
      <w:pPr>
        <w:adjustRightInd w:val="0"/>
        <w:snapToGrid w:val="0"/>
        <w:spacing w:line="360" w:lineRule="auto"/>
        <w:ind w:firstLine="480" w:firstLineChars="200"/>
        <w:jc w:val="left"/>
        <w:rPr>
          <w:rFonts w:ascii="宋体" w:hAnsi="宋体"/>
          <w:bCs/>
        </w:rPr>
      </w:pPr>
      <w:r>
        <w:rPr>
          <w:rFonts w:hint="eastAsia" w:ascii="宋体" w:hAnsi="宋体"/>
          <w:bCs/>
        </w:rPr>
        <w:t>4. 维保仪器设备为高价值高精密分析设备，需要由受过产品培训的工程师来提供服务，</w:t>
      </w:r>
      <w:r>
        <w:rPr>
          <w:rFonts w:hint="eastAsia" w:ascii="宋体" w:hAnsi="宋体"/>
          <w:b/>
        </w:rPr>
        <w:t>须</w:t>
      </w:r>
      <w:r>
        <w:rPr>
          <w:rFonts w:hint="eastAsia" w:ascii="宋体" w:hAnsi="宋体"/>
          <w:b/>
          <w:bCs/>
        </w:rPr>
        <w:t>提供服务承诺书。</w:t>
      </w:r>
    </w:p>
    <w:p>
      <w:pPr>
        <w:adjustRightInd w:val="0"/>
        <w:snapToGrid w:val="0"/>
        <w:spacing w:line="360" w:lineRule="auto"/>
        <w:ind w:firstLine="480" w:firstLineChars="200"/>
        <w:jc w:val="left"/>
        <w:rPr>
          <w:rFonts w:ascii="宋体" w:hAnsi="宋体"/>
          <w:bCs/>
        </w:rPr>
      </w:pPr>
      <w:r>
        <w:rPr>
          <w:rFonts w:hint="eastAsia" w:ascii="宋体" w:hAnsi="宋体"/>
          <w:bCs/>
        </w:rPr>
        <w:t>5. 每季度安排技术工程师到现场进行巡查，包括设备检查、维护保养和使用技术支持等，以保证设备处于最佳运行状态。每次巡查、维护保养后需做好记录，双方签名确认。</w:t>
      </w:r>
    </w:p>
    <w:p>
      <w:pPr>
        <w:adjustRightInd w:val="0"/>
        <w:snapToGrid w:val="0"/>
        <w:spacing w:line="360" w:lineRule="auto"/>
        <w:ind w:firstLine="480" w:firstLineChars="200"/>
        <w:jc w:val="left"/>
        <w:rPr>
          <w:rFonts w:ascii="宋体" w:hAnsi="宋体"/>
          <w:bCs/>
        </w:rPr>
      </w:pPr>
      <w:r>
        <w:rPr>
          <w:rFonts w:hint="eastAsia" w:ascii="宋体" w:hAnsi="宋体"/>
          <w:bCs/>
        </w:rPr>
        <w:t>6. 对实验室管理提供必要的合理化意见或建议，包括提供年度维修总结，年度故障分析报告。</w:t>
      </w:r>
    </w:p>
    <w:p>
      <w:pPr>
        <w:adjustRightInd w:val="0"/>
        <w:snapToGrid w:val="0"/>
        <w:spacing w:line="360" w:lineRule="auto"/>
        <w:ind w:left="13" w:firstLine="480" w:firstLineChars="200"/>
        <w:jc w:val="left"/>
        <w:rPr>
          <w:rFonts w:ascii="宋体" w:hAnsi="宋体"/>
          <w:bCs/>
        </w:rPr>
      </w:pPr>
      <w:r>
        <w:rPr>
          <w:rFonts w:hint="eastAsia" w:ascii="宋体" w:hAnsi="宋体"/>
          <w:bCs/>
        </w:rPr>
        <w:t>7. 所有维护工作的实施必须保证基本不影响实验室的正常工作，根据实际工作情况安排现场服务；</w:t>
      </w:r>
    </w:p>
    <w:p>
      <w:pPr>
        <w:adjustRightInd w:val="0"/>
        <w:snapToGrid w:val="0"/>
        <w:spacing w:line="360" w:lineRule="auto"/>
        <w:ind w:firstLine="480" w:firstLineChars="200"/>
        <w:jc w:val="left"/>
        <w:rPr>
          <w:rFonts w:ascii="宋体" w:hAnsi="宋体"/>
          <w:bCs/>
        </w:rPr>
      </w:pPr>
      <w:r>
        <w:rPr>
          <w:rFonts w:hint="eastAsia" w:ascii="宋体" w:hAnsi="宋体"/>
          <w:bCs/>
        </w:rPr>
        <w:t>8.</w:t>
      </w:r>
      <w:r>
        <w:rPr>
          <w:rFonts w:ascii="宋体" w:hAnsi="宋体"/>
          <w:bCs/>
        </w:rPr>
        <w:t xml:space="preserve"> </w:t>
      </w:r>
      <w:r>
        <w:rPr>
          <w:rFonts w:hint="eastAsia" w:ascii="宋体" w:hAnsi="宋体"/>
          <w:bCs/>
        </w:rPr>
        <w:t>每次维保维修完成后应填写服务单/或服务报告（包括故障描述、解决处理内容、更换配件耗材情况、服务时间等），双方签名确认、各留一份。</w:t>
      </w:r>
    </w:p>
    <w:p>
      <w:pPr>
        <w:pStyle w:val="25"/>
        <w:ind w:firstLine="480" w:firstLineChars="200"/>
      </w:pPr>
      <w:r>
        <w:rPr>
          <w:rFonts w:hint="eastAsia" w:hAnsi="宋体"/>
          <w:bCs/>
        </w:rPr>
        <w:t>9. 如有仪器搬迁，搬迁前后协助检查确认仪器状态，确保仪器正常使用。</w:t>
      </w:r>
    </w:p>
    <w:p>
      <w:pPr>
        <w:autoSpaceDN w:val="0"/>
        <w:spacing w:line="360" w:lineRule="auto"/>
        <w:ind w:firstLine="482" w:firstLineChars="200"/>
        <w:outlineLvl w:val="2"/>
        <w:rPr>
          <w:rFonts w:ascii="宋体" w:cs="宋体"/>
          <w:b/>
          <w:bCs/>
        </w:rPr>
      </w:pPr>
      <w:r>
        <w:rPr>
          <w:rFonts w:hint="eastAsia" w:ascii="宋体" w:cs="宋体"/>
          <w:b/>
          <w:bCs/>
        </w:rPr>
        <w:t>四、项目商务服务要求</w:t>
      </w:r>
    </w:p>
    <w:p>
      <w:pPr>
        <w:adjustRightInd w:val="0"/>
        <w:snapToGrid w:val="0"/>
        <w:spacing w:line="360" w:lineRule="auto"/>
        <w:ind w:firstLine="480" w:firstLineChars="200"/>
        <w:jc w:val="left"/>
        <w:rPr>
          <w:rFonts w:ascii="宋体" w:hAnsi="宋体"/>
          <w:bCs/>
        </w:rPr>
      </w:pPr>
      <w:r>
        <w:rPr>
          <w:rFonts w:hint="eastAsia" w:ascii="宋体" w:hAnsi="宋体"/>
          <w:bCs/>
        </w:rPr>
        <w:t>1. 服务期：本项目服务期为一年期。</w:t>
      </w:r>
    </w:p>
    <w:p>
      <w:pPr>
        <w:adjustRightInd w:val="0"/>
        <w:snapToGrid w:val="0"/>
        <w:spacing w:line="360" w:lineRule="auto"/>
        <w:ind w:firstLine="480" w:firstLineChars="200"/>
        <w:jc w:val="left"/>
        <w:rPr>
          <w:rFonts w:ascii="宋体" w:hAnsi="宋体"/>
          <w:bCs/>
        </w:rPr>
      </w:pPr>
      <w:r>
        <w:rPr>
          <w:rFonts w:hint="eastAsia" w:ascii="宋体" w:hAnsi="宋体"/>
          <w:bCs/>
        </w:rPr>
        <w:t>2. 服务热线及服务响应时间要求</w:t>
      </w:r>
    </w:p>
    <w:p>
      <w:pPr>
        <w:adjustRightInd w:val="0"/>
        <w:snapToGrid w:val="0"/>
        <w:spacing w:line="360" w:lineRule="auto"/>
        <w:ind w:firstLine="480" w:firstLineChars="200"/>
        <w:jc w:val="left"/>
        <w:rPr>
          <w:rFonts w:ascii="宋体" w:hAnsi="宋体"/>
          <w:bCs/>
        </w:rPr>
      </w:pPr>
      <w:r>
        <w:rPr>
          <w:rFonts w:hint="eastAsia" w:ascii="宋体" w:hAnsi="宋体"/>
          <w:bCs/>
        </w:rPr>
        <w:t>（1）中标人应提供的服务热线（电话/微信工作群）：         。除国家规定的节假日外，每周一至周日上午8点至下午5点半，随时响应。</w:t>
      </w:r>
    </w:p>
    <w:p>
      <w:pPr>
        <w:adjustRightInd w:val="0"/>
        <w:snapToGrid w:val="0"/>
        <w:spacing w:line="360" w:lineRule="auto"/>
        <w:ind w:firstLine="480" w:firstLineChars="200"/>
        <w:jc w:val="left"/>
        <w:rPr>
          <w:rFonts w:ascii="宋体" w:hAnsi="宋体"/>
          <w:bCs/>
        </w:rPr>
      </w:pPr>
      <w:r>
        <w:rPr>
          <w:rFonts w:hint="eastAsia" w:ascii="宋体" w:hAnsi="宋体"/>
          <w:bCs/>
        </w:rPr>
        <w:t>（2）中标人提供服务时应达到的服务响应时间要求：对采购人提出的清单内仪器、设备及配套设施故障问题及维修，要求中标人30分钟内电话响应，24小时内查明故障原因并提供解决方案。非硬件故障48小时内完成维修，硬件故障72小时内带备件到达现场维修，保证5天内排除故障并完成维修，确保设备正常运转。</w:t>
      </w:r>
    </w:p>
    <w:p>
      <w:pPr>
        <w:adjustRightInd w:val="0"/>
        <w:snapToGrid w:val="0"/>
        <w:spacing w:line="360" w:lineRule="auto"/>
        <w:ind w:firstLine="480" w:firstLineChars="200"/>
        <w:jc w:val="left"/>
        <w:rPr>
          <w:rFonts w:ascii="宋体" w:hAnsi="宋体"/>
          <w:bCs/>
        </w:rPr>
      </w:pPr>
      <w:r>
        <w:rPr>
          <w:rFonts w:hint="eastAsia" w:ascii="宋体" w:hAnsi="宋体"/>
          <w:bCs/>
        </w:rPr>
        <w:t>（3）当同一设备同一故障现象连续发生2次维修都没修好的情况下，中标人应将其送原厂或甲方指定维修商进行维修，维保清单内设备所产生费用由中标人负责，非维保设备所产生费用由甲方负责、但中标人在此维修期间所产生的人工服务费用由中标人承担。</w:t>
      </w:r>
    </w:p>
    <w:p>
      <w:pPr>
        <w:adjustRightInd w:val="0"/>
        <w:snapToGrid w:val="0"/>
        <w:spacing w:line="360" w:lineRule="auto"/>
        <w:ind w:firstLine="482" w:firstLineChars="200"/>
        <w:jc w:val="left"/>
        <w:rPr>
          <w:rFonts w:ascii="宋体" w:hAnsi="宋体"/>
          <w:b/>
        </w:rPr>
      </w:pPr>
      <w:r>
        <w:rPr>
          <w:rFonts w:hint="eastAsia" w:ascii="宋体" w:hAnsi="宋体"/>
          <w:b/>
        </w:rPr>
        <w:t>3.服务方案细化标准</w:t>
      </w:r>
    </w:p>
    <w:p>
      <w:pPr>
        <w:adjustRightInd w:val="0"/>
        <w:snapToGrid w:val="0"/>
        <w:spacing w:line="360" w:lineRule="auto"/>
        <w:ind w:firstLine="482" w:firstLineChars="200"/>
        <w:jc w:val="left"/>
        <w:rPr>
          <w:rFonts w:ascii="宋体" w:hAnsi="宋体"/>
          <w:b/>
        </w:rPr>
      </w:pPr>
      <w:r>
        <w:rPr>
          <w:rFonts w:hint="eastAsia" w:ascii="宋体" w:hAnsi="宋体"/>
          <w:b/>
        </w:rPr>
        <w:t>（1）维保服务方案</w:t>
      </w:r>
    </w:p>
    <w:p>
      <w:pPr>
        <w:adjustRightInd w:val="0"/>
        <w:snapToGrid w:val="0"/>
        <w:spacing w:line="360" w:lineRule="auto"/>
        <w:ind w:firstLine="480" w:firstLineChars="200"/>
        <w:jc w:val="left"/>
        <w:rPr>
          <w:rFonts w:ascii="宋体" w:hAnsi="宋体"/>
          <w:bCs/>
        </w:rPr>
      </w:pPr>
      <w:r>
        <w:rPr>
          <w:rFonts w:hint="eastAsia" w:ascii="宋体" w:hAnsi="宋体"/>
          <w:bCs/>
        </w:rPr>
        <w:t>①巡检频次与时长</w:t>
      </w:r>
    </w:p>
    <w:p>
      <w:pPr>
        <w:adjustRightInd w:val="0"/>
        <w:snapToGrid w:val="0"/>
        <w:spacing w:line="360" w:lineRule="auto"/>
        <w:ind w:firstLine="480" w:firstLineChars="200"/>
        <w:jc w:val="left"/>
        <w:rPr>
          <w:rFonts w:ascii="宋体" w:hAnsi="宋体"/>
          <w:bCs/>
        </w:rPr>
      </w:pPr>
      <w:r>
        <w:rPr>
          <w:rFonts w:hint="eastAsia" w:ascii="宋体" w:hAnsi="宋体"/>
          <w:bCs/>
        </w:rPr>
        <w:t>固定每自然季度开展1次现场全面巡检+预防性保养，全年合计不少于4次；单次现场服务时长：单台精密仪器维保作业≥2小时，成套联用设备≥4小时。巡检需覆盖对应采购包全部维保清单设备，覆盖率要求100%，缺检、漏检视为不合格。</w:t>
      </w:r>
    </w:p>
    <w:p>
      <w:pPr>
        <w:adjustRightInd w:val="0"/>
        <w:snapToGrid w:val="0"/>
        <w:spacing w:line="360" w:lineRule="auto"/>
        <w:ind w:firstLine="480" w:firstLineChars="200"/>
        <w:jc w:val="left"/>
        <w:rPr>
          <w:rFonts w:ascii="宋体" w:hAnsi="宋体"/>
          <w:bCs/>
        </w:rPr>
      </w:pPr>
      <w:r>
        <w:rPr>
          <w:rFonts w:hint="eastAsia" w:ascii="宋体" w:hAnsi="宋体"/>
          <w:bCs/>
        </w:rPr>
        <w:t>②维保作业内容</w:t>
      </w:r>
    </w:p>
    <w:p>
      <w:pPr>
        <w:adjustRightInd w:val="0"/>
        <w:snapToGrid w:val="0"/>
        <w:spacing w:line="360" w:lineRule="auto"/>
        <w:ind w:firstLine="480" w:firstLineChars="200"/>
        <w:jc w:val="left"/>
        <w:rPr>
          <w:rFonts w:ascii="宋体" w:hAnsi="宋体"/>
          <w:bCs/>
        </w:rPr>
      </w:pPr>
      <w:r>
        <w:rPr>
          <w:rFonts w:hint="eastAsia" w:ascii="宋体" w:hAnsi="宋体"/>
          <w:bCs/>
        </w:rPr>
        <w:t>采购包 1（全包维保）：提供招标文件列明的全部原厂消耗品、零部件、工时、差旅、上门服务，不得额外收取任何费用；单次维保需完成清洁、管路检查、电路检测、性能校准、参数复核5项基础动作，每项均需记录。</w:t>
      </w:r>
    </w:p>
    <w:p>
      <w:pPr>
        <w:adjustRightInd w:val="0"/>
        <w:snapToGrid w:val="0"/>
        <w:spacing w:line="360" w:lineRule="auto"/>
        <w:ind w:firstLine="480" w:firstLineChars="200"/>
        <w:jc w:val="left"/>
        <w:rPr>
          <w:rFonts w:ascii="宋体" w:hAnsi="宋体"/>
          <w:bCs/>
        </w:rPr>
      </w:pPr>
      <w:r>
        <w:rPr>
          <w:rFonts w:hint="eastAsia" w:ascii="宋体" w:hAnsi="宋体"/>
          <w:bCs/>
        </w:rPr>
        <w:t>③维保记录要求</w:t>
      </w:r>
    </w:p>
    <w:p>
      <w:pPr>
        <w:adjustRightInd w:val="0"/>
        <w:snapToGrid w:val="0"/>
        <w:spacing w:line="360" w:lineRule="auto"/>
        <w:ind w:firstLine="480" w:firstLineChars="200"/>
        <w:jc w:val="left"/>
        <w:rPr>
          <w:rFonts w:ascii="宋体" w:hAnsi="宋体"/>
          <w:bCs/>
        </w:rPr>
      </w:pPr>
      <w:r>
        <w:rPr>
          <w:rFonts w:hint="eastAsia" w:ascii="宋体" w:hAnsi="宋体"/>
          <w:bCs/>
        </w:rPr>
        <w:t>每次巡检/保养后24小时内提交纸质+电子版《季度维保记录表》，表格必须包含：设备编号、序列号、运行参数、故障隐患、保养内容、耗材更换明细、双方签字栏；记录完整率需达100%，无签字、内容空缺视为无效记录。提交年度维保总结报告，包含全年设备运行数据、故障统计、维保台账、优化建议，报告页数不少于15页，数据图表占比≥40%。</w:t>
      </w:r>
    </w:p>
    <w:p>
      <w:pPr>
        <w:adjustRightInd w:val="0"/>
        <w:snapToGrid w:val="0"/>
        <w:spacing w:line="360" w:lineRule="auto"/>
        <w:ind w:firstLine="480" w:firstLineChars="200"/>
        <w:jc w:val="left"/>
        <w:rPr>
          <w:rFonts w:ascii="宋体" w:hAnsi="宋体"/>
          <w:bCs/>
        </w:rPr>
      </w:pPr>
      <w:r>
        <w:rPr>
          <w:rFonts w:hint="eastAsia" w:ascii="宋体" w:hAnsi="宋体"/>
          <w:bCs/>
        </w:rPr>
        <w:t>④设备性能指标</w:t>
      </w:r>
    </w:p>
    <w:p>
      <w:pPr>
        <w:adjustRightInd w:val="0"/>
        <w:snapToGrid w:val="0"/>
        <w:spacing w:line="360" w:lineRule="auto"/>
        <w:ind w:firstLine="480" w:firstLineChars="200"/>
        <w:jc w:val="left"/>
        <w:rPr>
          <w:rFonts w:ascii="宋体" w:hAnsi="宋体"/>
          <w:bCs/>
        </w:rPr>
      </w:pPr>
      <w:r>
        <w:rPr>
          <w:rFonts w:hint="eastAsia" w:ascii="宋体" w:hAnsi="宋体"/>
          <w:bCs/>
        </w:rPr>
        <w:t>维保后设备关键技术参数偏差≤仪器出厂标准允许误差范围；精密分析仪器基线稳定性、灵敏度、重复性指标需符合海关检测实验室使用标准，现场抽检合格率100%。</w:t>
      </w:r>
    </w:p>
    <w:p>
      <w:pPr>
        <w:adjustRightInd w:val="0"/>
        <w:snapToGrid w:val="0"/>
        <w:spacing w:line="360" w:lineRule="auto"/>
        <w:ind w:firstLine="480" w:firstLineChars="200"/>
        <w:jc w:val="left"/>
        <w:rPr>
          <w:rFonts w:ascii="宋体" w:hAnsi="宋体"/>
          <w:bCs/>
        </w:rPr>
      </w:pPr>
      <w:r>
        <w:rPr>
          <w:rFonts w:hint="eastAsia" w:ascii="宋体" w:hAnsi="宋体"/>
          <w:bCs/>
        </w:rPr>
        <w:t>⑤辅助服务</w:t>
      </w:r>
    </w:p>
    <w:p>
      <w:pPr>
        <w:adjustRightInd w:val="0"/>
        <w:snapToGrid w:val="0"/>
        <w:spacing w:line="360" w:lineRule="auto"/>
        <w:ind w:firstLine="480" w:firstLineChars="200"/>
        <w:jc w:val="left"/>
        <w:rPr>
          <w:rFonts w:ascii="宋体" w:hAnsi="宋体"/>
          <w:bCs/>
        </w:rPr>
      </w:pPr>
      <w:r>
        <w:rPr>
          <w:rFonts w:hint="eastAsia" w:ascii="宋体" w:hAnsi="宋体"/>
          <w:bCs/>
        </w:rPr>
        <w:t>配合采购人完成仪器搬迁、移位工作：搬迁前后各1次免费整机状态检测，并出具《仪器搬迁状态确认单》，搬迁后设备需一次性恢复正常运行。</w:t>
      </w:r>
    </w:p>
    <w:p>
      <w:pPr>
        <w:adjustRightInd w:val="0"/>
        <w:snapToGrid w:val="0"/>
        <w:spacing w:line="360" w:lineRule="auto"/>
        <w:ind w:firstLine="480" w:firstLineChars="200"/>
        <w:jc w:val="left"/>
        <w:rPr>
          <w:rFonts w:ascii="宋体" w:hAnsi="宋体"/>
          <w:bCs/>
        </w:rPr>
      </w:pPr>
      <w:r>
        <w:rPr>
          <w:rFonts w:hint="eastAsia" w:ascii="宋体" w:hAnsi="宋体"/>
          <w:bCs/>
        </w:rPr>
        <w:t>⑥专项细化</w:t>
      </w:r>
    </w:p>
    <w:p>
      <w:pPr>
        <w:adjustRightInd w:val="0"/>
        <w:snapToGrid w:val="0"/>
        <w:spacing w:line="360" w:lineRule="auto"/>
        <w:ind w:firstLine="480" w:firstLineChars="200"/>
        <w:jc w:val="left"/>
        <w:rPr>
          <w:rFonts w:ascii="宋体" w:hAnsi="宋体"/>
          <w:bCs/>
        </w:rPr>
      </w:pPr>
      <w:r>
        <w:rPr>
          <w:rFonts w:hint="eastAsia" w:ascii="宋体" w:hAnsi="宋体"/>
          <w:bCs/>
        </w:rPr>
        <w:t>采购包 1（赛默飞 8 台仪器）：应对维保清单内设备做深度保养，严格按照附件清单配齐 ICPMS、液质、气质、离子色谱等专用维保耗材，耗材更换批次、型号需 100% 与原厂规格一致；每台设备单独建立维保子台账。</w:t>
      </w:r>
    </w:p>
    <w:p>
      <w:pPr>
        <w:adjustRightInd w:val="0"/>
        <w:snapToGrid w:val="0"/>
        <w:spacing w:line="360" w:lineRule="auto"/>
        <w:ind w:firstLine="480" w:firstLineChars="200"/>
        <w:jc w:val="left"/>
        <w:rPr>
          <w:rFonts w:ascii="宋体" w:hAnsi="宋体"/>
          <w:bCs/>
        </w:rPr>
      </w:pPr>
      <w:r>
        <w:rPr>
          <w:rFonts w:hint="eastAsia" w:ascii="宋体" w:hAnsi="宋体"/>
          <w:bCs/>
        </w:rPr>
        <w:t>⑦维修工序与验收</w:t>
      </w:r>
    </w:p>
    <w:p>
      <w:pPr>
        <w:adjustRightInd w:val="0"/>
        <w:snapToGrid w:val="0"/>
        <w:spacing w:line="360" w:lineRule="auto"/>
        <w:ind w:firstLine="480" w:firstLineChars="200"/>
        <w:jc w:val="left"/>
        <w:rPr>
          <w:rFonts w:ascii="宋体" w:hAnsi="宋体"/>
          <w:bCs/>
        </w:rPr>
      </w:pPr>
      <w:r>
        <w:rPr>
          <w:rFonts w:hint="eastAsia" w:ascii="宋体" w:hAnsi="宋体"/>
          <w:bCs/>
        </w:rPr>
        <w:t>单次维修必须完成：故障定位→配件检测→维修更换→整机调试→性能复测5道工序，每道工序留存相关记录或现场照片 / 检测数据。</w:t>
      </w:r>
    </w:p>
    <w:p>
      <w:pPr>
        <w:adjustRightInd w:val="0"/>
        <w:snapToGrid w:val="0"/>
        <w:spacing w:line="360" w:lineRule="auto"/>
        <w:ind w:firstLine="480" w:firstLineChars="200"/>
        <w:jc w:val="left"/>
        <w:rPr>
          <w:rFonts w:ascii="宋体" w:hAnsi="宋体"/>
          <w:bCs/>
        </w:rPr>
      </w:pPr>
      <w:r>
        <w:rPr>
          <w:rFonts w:hint="eastAsia" w:ascii="宋体" w:hAnsi="宋体"/>
          <w:bCs/>
        </w:rPr>
        <w:t>维修完成后当场填写《维修服务单》，注明故障原因、更换配件型号、维修时长、质保期限，双方签字确认，服务单留存归档，归档率100%。</w:t>
      </w:r>
    </w:p>
    <w:p>
      <w:pPr>
        <w:adjustRightInd w:val="0"/>
        <w:snapToGrid w:val="0"/>
        <w:spacing w:line="360" w:lineRule="auto"/>
        <w:ind w:firstLine="480" w:firstLineChars="200"/>
        <w:jc w:val="left"/>
        <w:rPr>
          <w:rFonts w:ascii="宋体" w:hAnsi="宋体"/>
          <w:bCs/>
        </w:rPr>
      </w:pPr>
      <w:r>
        <w:rPr>
          <w:rFonts w:hint="eastAsia" w:ascii="宋体" w:hAnsi="宋体"/>
          <w:bCs/>
        </w:rPr>
        <w:t>⑧配件品质与质保</w:t>
      </w:r>
    </w:p>
    <w:p>
      <w:pPr>
        <w:adjustRightInd w:val="0"/>
        <w:snapToGrid w:val="0"/>
        <w:spacing w:line="360" w:lineRule="auto"/>
        <w:ind w:firstLine="480" w:firstLineChars="200"/>
        <w:jc w:val="left"/>
        <w:rPr>
          <w:rFonts w:ascii="宋体" w:hAnsi="宋体"/>
          <w:bCs/>
        </w:rPr>
      </w:pPr>
      <w:r>
        <w:rPr>
          <w:rFonts w:hint="eastAsia" w:ascii="宋体" w:hAnsi="宋体"/>
          <w:bCs/>
        </w:rPr>
        <w:t>所有更换配件必须为原厂全新未拆封、符合国家质量标准或行业标准的配件。</w:t>
      </w:r>
    </w:p>
    <w:p>
      <w:pPr>
        <w:adjustRightInd w:val="0"/>
        <w:snapToGrid w:val="0"/>
        <w:spacing w:line="360" w:lineRule="auto"/>
        <w:ind w:firstLine="480" w:firstLineChars="200"/>
        <w:jc w:val="left"/>
        <w:rPr>
          <w:rFonts w:ascii="宋体" w:hAnsi="宋体"/>
          <w:bCs/>
        </w:rPr>
      </w:pPr>
      <w:r>
        <w:rPr>
          <w:rFonts w:hint="eastAsia" w:ascii="宋体" w:hAnsi="宋体"/>
          <w:bCs/>
        </w:rPr>
        <w:t>更换零部件统一提供不少于6个月免费质保，原厂质保长于6个月的按原厂标准执行；质保期内，因同一设备同一故障或由该更换零部件引发的任何问题，乙方均应提供免费维修服务，直至故障完全排除。</w:t>
      </w:r>
    </w:p>
    <w:p>
      <w:pPr>
        <w:adjustRightInd w:val="0"/>
        <w:snapToGrid w:val="0"/>
        <w:spacing w:line="360" w:lineRule="auto"/>
        <w:ind w:firstLine="480" w:firstLineChars="200"/>
        <w:jc w:val="left"/>
        <w:rPr>
          <w:rFonts w:ascii="宋体" w:hAnsi="宋体"/>
          <w:bCs/>
        </w:rPr>
      </w:pPr>
      <w:r>
        <w:rPr>
          <w:rFonts w:hint="eastAsia" w:ascii="宋体" w:hAnsi="宋体"/>
          <w:bCs/>
        </w:rPr>
        <w:t>⑨重复故障管控</w:t>
      </w:r>
    </w:p>
    <w:p>
      <w:pPr>
        <w:adjustRightInd w:val="0"/>
        <w:snapToGrid w:val="0"/>
        <w:spacing w:line="360" w:lineRule="auto"/>
        <w:ind w:firstLine="480" w:firstLineChars="200"/>
        <w:jc w:val="left"/>
        <w:rPr>
          <w:rFonts w:ascii="宋体" w:hAnsi="宋体"/>
          <w:bCs/>
        </w:rPr>
      </w:pPr>
      <w:r>
        <w:rPr>
          <w:rFonts w:hint="eastAsia" w:ascii="宋体" w:hAnsi="宋体"/>
          <w:bCs/>
        </w:rPr>
        <w:t>同一设备同一故障连续维修2次仍未修复，中标人必须在24小时内安排送原厂维修或；维保清单内设备产生的所有费用由中标人承担。</w:t>
      </w:r>
    </w:p>
    <w:p>
      <w:pPr>
        <w:adjustRightInd w:val="0"/>
        <w:snapToGrid w:val="0"/>
        <w:spacing w:line="360" w:lineRule="auto"/>
        <w:ind w:firstLine="482" w:firstLineChars="200"/>
        <w:jc w:val="left"/>
        <w:rPr>
          <w:rFonts w:ascii="宋体" w:hAnsi="宋体"/>
          <w:b/>
        </w:rPr>
      </w:pPr>
      <w:r>
        <w:rPr>
          <w:rFonts w:hint="eastAsia" w:ascii="宋体" w:hAnsi="宋体"/>
          <w:b/>
        </w:rPr>
        <w:t>（3）团队管理服务方案</w:t>
      </w:r>
    </w:p>
    <w:p>
      <w:pPr>
        <w:adjustRightInd w:val="0"/>
        <w:snapToGrid w:val="0"/>
        <w:spacing w:line="360" w:lineRule="auto"/>
        <w:ind w:firstLine="480" w:firstLineChars="200"/>
        <w:jc w:val="left"/>
        <w:rPr>
          <w:rFonts w:ascii="宋体" w:hAnsi="宋体"/>
          <w:bCs/>
        </w:rPr>
      </w:pPr>
      <w:r>
        <w:rPr>
          <w:rFonts w:hint="eastAsia" w:ascii="宋体" w:hAnsi="宋体"/>
          <w:bCs/>
        </w:rPr>
        <w:t>①人员配置（定岗定编）</w:t>
      </w:r>
    </w:p>
    <w:p>
      <w:pPr>
        <w:adjustRightInd w:val="0"/>
        <w:snapToGrid w:val="0"/>
        <w:spacing w:line="360" w:lineRule="auto"/>
        <w:ind w:firstLine="480" w:firstLineChars="200"/>
        <w:jc w:val="left"/>
        <w:rPr>
          <w:rFonts w:ascii="宋体" w:hAnsi="宋体"/>
          <w:bCs/>
        </w:rPr>
      </w:pPr>
      <w:r>
        <w:rPr>
          <w:rFonts w:hint="eastAsia" w:ascii="宋体" w:hAnsi="宋体"/>
          <w:bCs/>
        </w:rPr>
        <w:t>配置专属服务团队，一人一岗、专人专包，严禁跨包兼职顶岗：</w:t>
      </w:r>
    </w:p>
    <w:p>
      <w:pPr>
        <w:adjustRightInd w:val="0"/>
        <w:snapToGrid w:val="0"/>
        <w:spacing w:line="360" w:lineRule="auto"/>
        <w:ind w:firstLine="480" w:firstLineChars="200"/>
        <w:jc w:val="left"/>
        <w:rPr>
          <w:rFonts w:ascii="宋体" w:hAnsi="宋体"/>
          <w:bCs/>
        </w:rPr>
      </w:pPr>
      <w:r>
        <w:rPr>
          <w:rFonts w:hint="eastAsia" w:ascii="宋体" w:hAnsi="宋体"/>
          <w:bCs/>
        </w:rPr>
        <w:t>配备不少于</w:t>
      </w:r>
      <w:r>
        <w:rPr>
          <w:rFonts w:ascii="宋体" w:hAnsi="宋体"/>
          <w:bCs/>
        </w:rPr>
        <w:t>2</w:t>
      </w:r>
      <w:r>
        <w:rPr>
          <w:rFonts w:hint="eastAsia" w:ascii="宋体" w:hAnsi="宋体"/>
          <w:bCs/>
        </w:rPr>
        <w:t>名专职工程师；具有机械或电气或仪器仪表类相关专业中级及以上职称；具有3年及以上色谱、质谱、光谱类精密分析仪器类设备维修工作经验。</w:t>
      </w:r>
    </w:p>
    <w:p>
      <w:pPr>
        <w:adjustRightInd w:val="0"/>
        <w:snapToGrid w:val="0"/>
        <w:spacing w:line="360" w:lineRule="auto"/>
        <w:ind w:firstLine="480" w:firstLineChars="200"/>
        <w:jc w:val="left"/>
        <w:rPr>
          <w:rFonts w:ascii="宋体" w:hAnsi="宋体"/>
          <w:bCs/>
        </w:rPr>
      </w:pPr>
      <w:r>
        <w:rPr>
          <w:rFonts w:hint="eastAsia" w:ascii="宋体" w:hAnsi="宋体"/>
          <w:bCs/>
        </w:rPr>
        <w:t>设置一名项目经理，要求具有8年及以上色谱、质谱、光谱类精密分析仪器类设备维修工作经验；具有机械或电气或仪器仪表类高级（或以上）职称；具有本科或以上学历。全面统筹所有采购包人员、进度、投诉、对接工作，项目经理不得兼任一线维修工程师。</w:t>
      </w:r>
    </w:p>
    <w:p>
      <w:pPr>
        <w:adjustRightInd w:val="0"/>
        <w:snapToGrid w:val="0"/>
        <w:spacing w:line="360" w:lineRule="auto"/>
        <w:ind w:firstLine="480" w:firstLineChars="200"/>
        <w:jc w:val="left"/>
        <w:rPr>
          <w:rFonts w:ascii="宋体" w:hAnsi="宋体"/>
          <w:bCs/>
        </w:rPr>
      </w:pPr>
      <w:r>
        <w:rPr>
          <w:rFonts w:hint="eastAsia" w:ascii="宋体" w:hAnsi="宋体"/>
          <w:bCs/>
        </w:rPr>
        <w:t>②人员资质与在岗</w:t>
      </w:r>
    </w:p>
    <w:p>
      <w:pPr>
        <w:adjustRightInd w:val="0"/>
        <w:snapToGrid w:val="0"/>
        <w:spacing w:line="360" w:lineRule="auto"/>
        <w:ind w:firstLine="480" w:firstLineChars="200"/>
        <w:jc w:val="left"/>
        <w:rPr>
          <w:rFonts w:ascii="宋体" w:hAnsi="宋体"/>
          <w:bCs/>
        </w:rPr>
      </w:pPr>
      <w:r>
        <w:rPr>
          <w:rFonts w:hint="eastAsia" w:ascii="宋体" w:hAnsi="宋体"/>
          <w:bCs/>
        </w:rPr>
        <w:t>所有驻场/外勤工程师必须持有对应品牌仪器原厂培训证书，证书在服务期内持续有效。（提供证书扫描件作为证明材料）</w:t>
      </w:r>
    </w:p>
    <w:p>
      <w:pPr>
        <w:adjustRightInd w:val="0"/>
        <w:snapToGrid w:val="0"/>
        <w:spacing w:line="360" w:lineRule="auto"/>
        <w:ind w:firstLine="480" w:firstLineChars="200"/>
        <w:jc w:val="left"/>
        <w:rPr>
          <w:rFonts w:ascii="宋体" w:hAnsi="宋体"/>
          <w:bCs/>
        </w:rPr>
      </w:pPr>
      <w:r>
        <w:rPr>
          <w:rFonts w:hint="eastAsia" w:ascii="宋体" w:hAnsi="宋体"/>
          <w:bCs/>
        </w:rPr>
        <w:t>团队人员稳定性：服务期内核心工程师离职率≤10%；人员变动需提前7个工作日书面告知采购人，并完成工作交接，交接记录完整存档。</w:t>
      </w:r>
    </w:p>
    <w:p>
      <w:pPr>
        <w:adjustRightInd w:val="0"/>
        <w:snapToGrid w:val="0"/>
        <w:spacing w:line="360" w:lineRule="auto"/>
        <w:ind w:firstLine="480" w:firstLineChars="200"/>
        <w:jc w:val="left"/>
        <w:rPr>
          <w:rFonts w:ascii="宋体" w:hAnsi="宋体"/>
          <w:bCs/>
        </w:rPr>
      </w:pPr>
      <w:r>
        <w:rPr>
          <w:rFonts w:hint="eastAsia" w:ascii="宋体" w:hAnsi="宋体"/>
          <w:bCs/>
        </w:rPr>
        <w:t>社保/劳动关系：所有在岗人员均需正常缴纳社保，采购人可随机抽查近6个月社保凭证，抽查合格率100%。</w:t>
      </w:r>
    </w:p>
    <w:p>
      <w:pPr>
        <w:adjustRightInd w:val="0"/>
        <w:snapToGrid w:val="0"/>
        <w:spacing w:line="360" w:lineRule="auto"/>
        <w:ind w:firstLine="480" w:firstLineChars="200"/>
        <w:jc w:val="left"/>
        <w:rPr>
          <w:rFonts w:ascii="宋体" w:hAnsi="宋体"/>
          <w:bCs/>
        </w:rPr>
      </w:pPr>
      <w:r>
        <w:rPr>
          <w:rFonts w:hint="eastAsia" w:ascii="宋体" w:hAnsi="宋体"/>
          <w:bCs/>
        </w:rPr>
        <w:t>③内部培训</w:t>
      </w:r>
    </w:p>
    <w:p>
      <w:pPr>
        <w:adjustRightInd w:val="0"/>
        <w:snapToGrid w:val="0"/>
        <w:spacing w:line="360" w:lineRule="auto"/>
        <w:ind w:firstLine="480" w:firstLineChars="200"/>
        <w:jc w:val="left"/>
        <w:rPr>
          <w:rFonts w:ascii="宋体" w:hAnsi="宋体"/>
          <w:bCs/>
        </w:rPr>
      </w:pPr>
      <w:r>
        <w:rPr>
          <w:rFonts w:hint="eastAsia" w:ascii="宋体" w:hAnsi="宋体"/>
          <w:bCs/>
        </w:rPr>
        <w:t>服务期内每季度组织1次内部技术培训，培训内容对应本包仪器型号、故障案例、维保规范，每次培训时长不少于4小时，留存培训签到表、课件、考核试卷。</w:t>
      </w:r>
    </w:p>
    <w:p>
      <w:pPr>
        <w:adjustRightInd w:val="0"/>
        <w:snapToGrid w:val="0"/>
        <w:spacing w:line="360" w:lineRule="auto"/>
        <w:ind w:firstLine="480" w:firstLineChars="200"/>
        <w:jc w:val="left"/>
        <w:rPr>
          <w:rFonts w:ascii="宋体" w:hAnsi="宋体"/>
          <w:bCs/>
        </w:rPr>
      </w:pPr>
      <w:r>
        <w:rPr>
          <w:rFonts w:hint="eastAsia" w:ascii="宋体" w:hAnsi="宋体"/>
          <w:bCs/>
        </w:rPr>
        <w:t>④人员管理</w:t>
      </w:r>
    </w:p>
    <w:p>
      <w:pPr>
        <w:adjustRightInd w:val="0"/>
        <w:snapToGrid w:val="0"/>
        <w:spacing w:line="360" w:lineRule="auto"/>
        <w:ind w:firstLine="480" w:firstLineChars="200"/>
        <w:jc w:val="left"/>
        <w:rPr>
          <w:rFonts w:ascii="宋体" w:hAnsi="宋体"/>
          <w:bCs/>
        </w:rPr>
      </w:pPr>
      <w:r>
        <w:rPr>
          <w:rFonts w:hint="eastAsia" w:ascii="宋体" w:hAnsi="宋体"/>
          <w:bCs/>
        </w:rPr>
        <w:t>中标人负责做好其团队员工的管理工作 。</w:t>
      </w:r>
    </w:p>
    <w:p>
      <w:pPr>
        <w:adjustRightInd w:val="0"/>
        <w:snapToGrid w:val="0"/>
        <w:spacing w:line="360" w:lineRule="auto"/>
        <w:ind w:firstLine="482" w:firstLineChars="200"/>
        <w:jc w:val="left"/>
        <w:rPr>
          <w:rFonts w:ascii="宋体" w:hAnsi="宋体"/>
          <w:b/>
        </w:rPr>
      </w:pPr>
      <w:r>
        <w:rPr>
          <w:rFonts w:hint="eastAsia" w:ascii="宋体" w:hAnsi="宋体"/>
          <w:b/>
        </w:rPr>
        <w:t>（4）服务响应方案</w:t>
      </w:r>
    </w:p>
    <w:p>
      <w:pPr>
        <w:adjustRightInd w:val="0"/>
        <w:snapToGrid w:val="0"/>
        <w:spacing w:line="360" w:lineRule="auto"/>
        <w:ind w:firstLine="480" w:firstLineChars="200"/>
        <w:jc w:val="left"/>
        <w:rPr>
          <w:rFonts w:ascii="宋体" w:hAnsi="宋体"/>
          <w:bCs/>
        </w:rPr>
      </w:pPr>
      <w:r>
        <w:rPr>
          <w:rFonts w:hint="eastAsia" w:ascii="宋体" w:hAnsi="宋体"/>
          <w:bCs/>
        </w:rPr>
        <w:t>①服务热线值守</w:t>
      </w:r>
    </w:p>
    <w:p>
      <w:pPr>
        <w:adjustRightInd w:val="0"/>
        <w:snapToGrid w:val="0"/>
        <w:spacing w:line="360" w:lineRule="auto"/>
        <w:ind w:firstLine="480" w:firstLineChars="200"/>
        <w:jc w:val="left"/>
        <w:rPr>
          <w:rFonts w:ascii="宋体" w:hAnsi="宋体"/>
          <w:bCs/>
        </w:rPr>
      </w:pPr>
      <w:r>
        <w:rPr>
          <w:rFonts w:hint="eastAsia" w:ascii="宋体" w:hAnsi="宋体"/>
          <w:bCs/>
        </w:rPr>
        <w:t>开通固定座机+微信工作群双渠道服务热线，服务时间：每周7天8:00-17:30（法定节假日除外），热线接通率≥98%，微信工作群消息10分钟内回复。</w:t>
      </w:r>
    </w:p>
    <w:p>
      <w:pPr>
        <w:adjustRightInd w:val="0"/>
        <w:snapToGrid w:val="0"/>
        <w:spacing w:line="360" w:lineRule="auto"/>
        <w:ind w:firstLine="480" w:firstLineChars="200"/>
        <w:jc w:val="left"/>
        <w:rPr>
          <w:rFonts w:ascii="宋体" w:hAnsi="宋体"/>
          <w:bCs/>
        </w:rPr>
      </w:pPr>
      <w:r>
        <w:rPr>
          <w:rFonts w:hint="eastAsia" w:ascii="宋体" w:hAnsi="宋体"/>
          <w:bCs/>
        </w:rPr>
        <w:t>热线安排专人值守，值守人员排班表每月1日前提交采购人，排班表公示率100%。</w:t>
      </w:r>
    </w:p>
    <w:p>
      <w:pPr>
        <w:adjustRightInd w:val="0"/>
        <w:snapToGrid w:val="0"/>
        <w:spacing w:line="360" w:lineRule="auto"/>
        <w:ind w:firstLine="480" w:firstLineChars="200"/>
        <w:jc w:val="left"/>
        <w:rPr>
          <w:rFonts w:ascii="宋体" w:hAnsi="宋体"/>
          <w:bCs/>
        </w:rPr>
      </w:pPr>
      <w:r>
        <w:rPr>
          <w:rFonts w:hint="eastAsia" w:ascii="宋体" w:hAnsi="宋体"/>
          <w:bCs/>
        </w:rPr>
        <w:t>节假日报修：预留1名值班工程师，保障热线正常接通与应急研判；</w:t>
      </w:r>
    </w:p>
    <w:p>
      <w:pPr>
        <w:adjustRightInd w:val="0"/>
        <w:snapToGrid w:val="0"/>
        <w:spacing w:line="360" w:lineRule="auto"/>
        <w:ind w:firstLine="480" w:firstLineChars="200"/>
        <w:jc w:val="left"/>
        <w:rPr>
          <w:rFonts w:ascii="宋体" w:hAnsi="宋体"/>
          <w:bCs/>
        </w:rPr>
      </w:pPr>
      <w:r>
        <w:rPr>
          <w:rFonts w:hint="eastAsia" w:ascii="宋体" w:hAnsi="宋体"/>
          <w:bCs/>
        </w:rPr>
        <w:t>②分级响应时效</w:t>
      </w:r>
    </w:p>
    <w:p>
      <w:pPr>
        <w:adjustRightInd w:val="0"/>
        <w:snapToGrid w:val="0"/>
        <w:spacing w:line="360" w:lineRule="auto"/>
        <w:ind w:firstLine="480" w:firstLineChars="200"/>
        <w:jc w:val="left"/>
        <w:rPr>
          <w:rFonts w:ascii="宋体" w:hAnsi="宋体"/>
          <w:bCs/>
        </w:rPr>
      </w:pPr>
      <w:r>
        <w:rPr>
          <w:rFonts w:hint="eastAsia" w:ascii="宋体" w:hAnsi="宋体"/>
          <w:bCs/>
        </w:rPr>
        <w:t>电话响应：接到故障报修/咨询，30分钟内完成电话应答、故障初步沟通、问题登记；超时视为响应失效。</w:t>
      </w:r>
    </w:p>
    <w:p>
      <w:pPr>
        <w:adjustRightInd w:val="0"/>
        <w:snapToGrid w:val="0"/>
        <w:spacing w:line="360" w:lineRule="auto"/>
        <w:ind w:firstLine="480" w:firstLineChars="200"/>
        <w:jc w:val="left"/>
        <w:rPr>
          <w:rFonts w:ascii="宋体" w:hAnsi="宋体"/>
          <w:bCs/>
        </w:rPr>
      </w:pPr>
      <w:r>
        <w:rPr>
          <w:rFonts w:hint="eastAsia" w:ascii="宋体" w:hAnsi="宋体"/>
          <w:bCs/>
        </w:rPr>
        <w:t>故障研判：电话沟通后24小时内查明全部故障原因，并提供书面解决方案、预估修复时长。</w:t>
      </w:r>
    </w:p>
    <w:p>
      <w:pPr>
        <w:adjustRightInd w:val="0"/>
        <w:snapToGrid w:val="0"/>
        <w:spacing w:line="360" w:lineRule="auto"/>
        <w:ind w:firstLine="480" w:firstLineChars="200"/>
        <w:jc w:val="left"/>
        <w:rPr>
          <w:rFonts w:ascii="宋体" w:hAnsi="宋体"/>
          <w:bCs/>
        </w:rPr>
      </w:pPr>
      <w:r>
        <w:rPr>
          <w:rFonts w:hint="eastAsia" w:ascii="宋体" w:hAnsi="宋体"/>
          <w:bCs/>
        </w:rPr>
        <w:t>非硬件故障（参数设置、软件问题、管路简易调试）：48小时内完成全部修复。</w:t>
      </w:r>
    </w:p>
    <w:p>
      <w:pPr>
        <w:adjustRightInd w:val="0"/>
        <w:snapToGrid w:val="0"/>
        <w:spacing w:line="360" w:lineRule="auto"/>
        <w:ind w:firstLine="480" w:firstLineChars="200"/>
        <w:jc w:val="left"/>
        <w:rPr>
          <w:rFonts w:ascii="宋体" w:hAnsi="宋体"/>
          <w:bCs/>
        </w:rPr>
      </w:pPr>
      <w:r>
        <w:rPr>
          <w:rFonts w:hint="eastAsia" w:ascii="宋体" w:hAnsi="宋体"/>
          <w:bCs/>
        </w:rPr>
        <w:t>硬件故障：72小时内携带对应备件抵达现场开展维修。</w:t>
      </w:r>
    </w:p>
    <w:p>
      <w:pPr>
        <w:adjustRightInd w:val="0"/>
        <w:snapToGrid w:val="0"/>
        <w:spacing w:line="360" w:lineRule="auto"/>
        <w:ind w:firstLine="480" w:firstLineChars="200"/>
        <w:jc w:val="left"/>
        <w:rPr>
          <w:rFonts w:ascii="宋体" w:hAnsi="宋体"/>
          <w:bCs/>
        </w:rPr>
      </w:pPr>
      <w:r>
        <w:rPr>
          <w:rFonts w:hint="eastAsia" w:ascii="宋体" w:hAnsi="宋体"/>
          <w:bCs/>
        </w:rPr>
        <w:t>最终修复时限：所有故障最长5个自然日内完成修复，恢复设备正常使用。</w:t>
      </w:r>
    </w:p>
    <w:p>
      <w:pPr>
        <w:adjustRightInd w:val="0"/>
        <w:snapToGrid w:val="0"/>
        <w:spacing w:line="360" w:lineRule="auto"/>
        <w:ind w:firstLine="480" w:firstLineChars="200"/>
        <w:jc w:val="left"/>
        <w:rPr>
          <w:rFonts w:ascii="宋体" w:hAnsi="宋体"/>
          <w:bCs/>
        </w:rPr>
      </w:pPr>
      <w:r>
        <w:rPr>
          <w:rFonts w:hint="eastAsia" w:ascii="宋体" w:hAnsi="宋体"/>
          <w:bCs/>
        </w:rPr>
        <w:t>设备同时报修：按实验室使用优先级排序响应，排序方案提前报备采购人。</w:t>
      </w:r>
    </w:p>
    <w:p>
      <w:pPr>
        <w:adjustRightInd w:val="0"/>
        <w:snapToGrid w:val="0"/>
        <w:spacing w:line="360" w:lineRule="auto"/>
        <w:ind w:firstLine="480" w:firstLineChars="200"/>
        <w:jc w:val="left"/>
        <w:rPr>
          <w:rFonts w:ascii="宋体" w:hAnsi="宋体"/>
          <w:bCs/>
        </w:rPr>
      </w:pPr>
      <w:r>
        <w:rPr>
          <w:rFonts w:hint="eastAsia" w:ascii="宋体" w:hAnsi="宋体"/>
          <w:bCs/>
        </w:rPr>
        <w:t>③工单管理（中标人）</w:t>
      </w:r>
    </w:p>
    <w:p>
      <w:pPr>
        <w:adjustRightInd w:val="0"/>
        <w:snapToGrid w:val="0"/>
        <w:spacing w:line="360" w:lineRule="auto"/>
        <w:ind w:firstLine="480" w:firstLineChars="200"/>
        <w:jc w:val="left"/>
        <w:rPr>
          <w:rFonts w:ascii="宋体" w:hAnsi="宋体"/>
          <w:bCs/>
        </w:rPr>
      </w:pPr>
      <w:r>
        <w:rPr>
          <w:rFonts w:hint="eastAsia" w:ascii="宋体" w:hAnsi="宋体"/>
          <w:bCs/>
        </w:rPr>
        <w:t>所有维修对应唯一工单，工单流转节点：报修登记→派单工程师→现场服务→验收归档，全流程节点实时同步至采购人，工单闭环率100%。</w:t>
      </w:r>
    </w:p>
    <w:p>
      <w:pPr>
        <w:adjustRightInd w:val="0"/>
        <w:snapToGrid w:val="0"/>
        <w:spacing w:line="360" w:lineRule="auto"/>
        <w:ind w:firstLine="480" w:firstLineChars="200"/>
        <w:jc w:val="left"/>
        <w:rPr>
          <w:rFonts w:ascii="宋体" w:hAnsi="宋体"/>
          <w:bCs/>
        </w:rPr>
      </w:pPr>
      <w:r>
        <w:rPr>
          <w:rFonts w:hint="eastAsia" w:ascii="宋体" w:hAnsi="宋体"/>
          <w:bCs/>
        </w:rPr>
        <w:t>④沟通反馈</w:t>
      </w:r>
    </w:p>
    <w:p>
      <w:pPr>
        <w:adjustRightInd w:val="0"/>
        <w:snapToGrid w:val="0"/>
        <w:spacing w:line="360" w:lineRule="auto"/>
        <w:ind w:firstLine="480" w:firstLineChars="200"/>
        <w:jc w:val="left"/>
        <w:rPr>
          <w:rFonts w:ascii="宋体" w:hAnsi="宋体"/>
          <w:bCs/>
        </w:rPr>
      </w:pPr>
      <w:r>
        <w:rPr>
          <w:rFonts w:hint="eastAsia" w:ascii="宋体" w:hAnsi="宋体"/>
          <w:bCs/>
        </w:rPr>
        <w:t>复杂故障每12小时向采购人同步 1次维修进度，直至修复完成；无进度反馈视为响应不达标。</w:t>
      </w:r>
    </w:p>
    <w:p>
      <w:pPr>
        <w:adjustRightInd w:val="0"/>
        <w:snapToGrid w:val="0"/>
        <w:spacing w:line="360" w:lineRule="auto"/>
        <w:ind w:firstLine="482" w:firstLineChars="200"/>
        <w:jc w:val="left"/>
        <w:rPr>
          <w:rFonts w:ascii="宋体" w:hAnsi="宋体"/>
          <w:b/>
        </w:rPr>
      </w:pPr>
      <w:r>
        <w:rPr>
          <w:rFonts w:hint="eastAsia" w:ascii="宋体" w:hAnsi="宋体"/>
          <w:b/>
        </w:rPr>
        <w:t>（5）应急服务方案</w:t>
      </w:r>
    </w:p>
    <w:p>
      <w:pPr>
        <w:adjustRightInd w:val="0"/>
        <w:snapToGrid w:val="0"/>
        <w:spacing w:line="360" w:lineRule="auto"/>
        <w:ind w:firstLine="480" w:firstLineChars="200"/>
        <w:jc w:val="left"/>
        <w:rPr>
          <w:rFonts w:ascii="宋体" w:hAnsi="宋体"/>
          <w:bCs/>
        </w:rPr>
      </w:pPr>
      <w:r>
        <w:rPr>
          <w:rFonts w:hint="eastAsia" w:ascii="宋体" w:hAnsi="宋体"/>
          <w:bCs/>
        </w:rPr>
        <w:t>①应急场景界定</w:t>
      </w:r>
    </w:p>
    <w:p>
      <w:pPr>
        <w:adjustRightInd w:val="0"/>
        <w:snapToGrid w:val="0"/>
        <w:spacing w:line="360" w:lineRule="auto"/>
        <w:ind w:firstLine="480" w:firstLineChars="200"/>
        <w:jc w:val="left"/>
        <w:rPr>
          <w:rFonts w:ascii="宋体" w:hAnsi="宋体"/>
          <w:bCs/>
        </w:rPr>
      </w:pPr>
      <w:r>
        <w:rPr>
          <w:rFonts w:hint="eastAsia" w:ascii="宋体" w:hAnsi="宋体"/>
          <w:bCs/>
        </w:rPr>
        <w:t>满足以下任一条件启动应急抢修机制：</w:t>
      </w:r>
    </w:p>
    <w:p>
      <w:pPr>
        <w:adjustRightInd w:val="0"/>
        <w:snapToGrid w:val="0"/>
        <w:spacing w:line="360" w:lineRule="auto"/>
        <w:ind w:firstLine="480" w:firstLineChars="200"/>
        <w:jc w:val="left"/>
        <w:rPr>
          <w:rFonts w:ascii="宋体" w:hAnsi="宋体"/>
          <w:bCs/>
        </w:rPr>
      </w:pPr>
      <w:r>
        <w:rPr>
          <w:rFonts w:hint="eastAsia" w:ascii="宋体" w:hAnsi="宋体"/>
          <w:bCs/>
        </w:rPr>
        <w:t>单台核心检测仪器故障，影响实验室日常检测工作；</w:t>
      </w:r>
    </w:p>
    <w:p>
      <w:pPr>
        <w:adjustRightInd w:val="0"/>
        <w:snapToGrid w:val="0"/>
        <w:spacing w:line="360" w:lineRule="auto"/>
        <w:ind w:firstLine="480" w:firstLineChars="200"/>
        <w:jc w:val="left"/>
        <w:rPr>
          <w:rFonts w:ascii="宋体" w:hAnsi="宋体"/>
          <w:bCs/>
        </w:rPr>
      </w:pPr>
      <w:r>
        <w:rPr>
          <w:rFonts w:hint="eastAsia" w:ascii="宋体" w:hAnsi="宋体"/>
          <w:bCs/>
        </w:rPr>
        <w:t>同一区域2台及以上设备同时故障；</w:t>
      </w:r>
    </w:p>
    <w:p>
      <w:pPr>
        <w:adjustRightInd w:val="0"/>
        <w:snapToGrid w:val="0"/>
        <w:spacing w:line="360" w:lineRule="auto"/>
        <w:ind w:firstLine="480" w:firstLineChars="200"/>
        <w:jc w:val="left"/>
        <w:rPr>
          <w:rFonts w:ascii="宋体" w:hAnsi="宋体"/>
          <w:bCs/>
        </w:rPr>
      </w:pPr>
      <w:r>
        <w:rPr>
          <w:rFonts w:hint="eastAsia" w:ascii="宋体" w:hAnsi="宋体"/>
          <w:bCs/>
        </w:rPr>
        <w:t>故障涉及主机、质谱核心模块、电路主板等关键部件；</w:t>
      </w:r>
    </w:p>
    <w:p>
      <w:pPr>
        <w:adjustRightInd w:val="0"/>
        <w:snapToGrid w:val="0"/>
        <w:spacing w:line="360" w:lineRule="auto"/>
        <w:ind w:firstLine="480" w:firstLineChars="200"/>
        <w:jc w:val="left"/>
        <w:rPr>
          <w:rFonts w:ascii="宋体" w:hAnsi="宋体"/>
          <w:bCs/>
        </w:rPr>
      </w:pPr>
      <w:r>
        <w:rPr>
          <w:rFonts w:hint="eastAsia" w:ascii="宋体" w:hAnsi="宋体"/>
          <w:bCs/>
        </w:rPr>
        <w:t>采购人提出紧急检测任务，设备突发故障。</w:t>
      </w:r>
    </w:p>
    <w:p>
      <w:pPr>
        <w:adjustRightInd w:val="0"/>
        <w:snapToGrid w:val="0"/>
        <w:spacing w:line="360" w:lineRule="auto"/>
        <w:ind w:firstLine="480" w:firstLineChars="200"/>
        <w:jc w:val="left"/>
        <w:rPr>
          <w:rFonts w:ascii="宋体" w:hAnsi="宋体"/>
          <w:bCs/>
        </w:rPr>
      </w:pPr>
      <w:r>
        <w:rPr>
          <w:rFonts w:hint="eastAsia" w:ascii="宋体" w:hAnsi="宋体"/>
          <w:bCs/>
        </w:rPr>
        <w:t>②应急人员与物资量化</w:t>
      </w:r>
    </w:p>
    <w:p>
      <w:pPr>
        <w:adjustRightInd w:val="0"/>
        <w:snapToGrid w:val="0"/>
        <w:spacing w:line="360" w:lineRule="auto"/>
        <w:ind w:firstLine="480" w:firstLineChars="200"/>
        <w:jc w:val="left"/>
        <w:rPr>
          <w:rFonts w:ascii="宋体" w:hAnsi="宋体"/>
          <w:bCs/>
        </w:rPr>
      </w:pPr>
      <w:r>
        <w:rPr>
          <w:rFonts w:hint="eastAsia" w:ascii="宋体" w:hAnsi="宋体"/>
          <w:bCs/>
        </w:rPr>
        <w:t>设立应急抢修小组，每组不少于2名资深工程师，24小时备勤（工作日+节假日），备勤人员名单、联系电话每月更新报备。</w:t>
      </w:r>
    </w:p>
    <w:p>
      <w:pPr>
        <w:adjustRightInd w:val="0"/>
        <w:snapToGrid w:val="0"/>
        <w:spacing w:line="360" w:lineRule="auto"/>
        <w:ind w:firstLine="480" w:firstLineChars="200"/>
        <w:jc w:val="left"/>
        <w:rPr>
          <w:rFonts w:ascii="宋体" w:hAnsi="宋体"/>
          <w:bCs/>
        </w:rPr>
      </w:pPr>
      <w:r>
        <w:rPr>
          <w:rFonts w:hint="eastAsia" w:ascii="宋体" w:hAnsi="宋体"/>
          <w:bCs/>
        </w:rPr>
        <w:t>建立常用应急备件库，存储各品牌高频损坏配件（灯丝、衬管、密封圈、泵油、探头等），备件库存覆盖率≥90%。</w:t>
      </w:r>
    </w:p>
    <w:p>
      <w:pPr>
        <w:adjustRightInd w:val="0"/>
        <w:snapToGrid w:val="0"/>
        <w:spacing w:line="360" w:lineRule="auto"/>
        <w:ind w:firstLine="480" w:firstLineChars="200"/>
        <w:jc w:val="left"/>
        <w:rPr>
          <w:rFonts w:ascii="宋体" w:hAnsi="宋体"/>
          <w:bCs/>
        </w:rPr>
      </w:pPr>
      <w:r>
        <w:rPr>
          <w:rFonts w:hint="eastAsia" w:ascii="宋体" w:hAnsi="宋体"/>
          <w:bCs/>
        </w:rPr>
        <w:t>③应急时效升级（高于常规响应）</w:t>
      </w:r>
    </w:p>
    <w:p>
      <w:pPr>
        <w:adjustRightInd w:val="0"/>
        <w:snapToGrid w:val="0"/>
        <w:spacing w:line="360" w:lineRule="auto"/>
        <w:ind w:firstLine="480" w:firstLineChars="200"/>
        <w:jc w:val="left"/>
        <w:rPr>
          <w:rFonts w:ascii="宋体" w:hAnsi="宋体"/>
          <w:bCs/>
        </w:rPr>
      </w:pPr>
      <w:r>
        <w:rPr>
          <w:rFonts w:hint="eastAsia" w:ascii="宋体" w:hAnsi="宋体"/>
          <w:bCs/>
        </w:rPr>
        <w:t>应急触发后15分钟内专人对接，4小时内工程师抵达现场；</w:t>
      </w:r>
    </w:p>
    <w:p>
      <w:pPr>
        <w:adjustRightInd w:val="0"/>
        <w:snapToGrid w:val="0"/>
        <w:spacing w:line="360" w:lineRule="auto"/>
        <w:ind w:firstLine="480" w:firstLineChars="200"/>
        <w:jc w:val="left"/>
        <w:rPr>
          <w:rFonts w:ascii="宋体" w:hAnsi="宋体"/>
          <w:bCs/>
        </w:rPr>
      </w:pPr>
      <w:r>
        <w:rPr>
          <w:rFonts w:hint="eastAsia" w:ascii="宋体" w:hAnsi="宋体"/>
          <w:bCs/>
        </w:rPr>
        <w:t>重大硬件故障，协调原厂技术远程支持，远程支持接入时长≤2小时。</w:t>
      </w:r>
    </w:p>
    <w:p>
      <w:pPr>
        <w:adjustRightInd w:val="0"/>
        <w:snapToGrid w:val="0"/>
        <w:spacing w:line="360" w:lineRule="auto"/>
        <w:ind w:firstLine="480" w:firstLineChars="200"/>
        <w:jc w:val="left"/>
        <w:rPr>
          <w:rFonts w:ascii="宋体" w:hAnsi="宋体"/>
          <w:bCs/>
        </w:rPr>
      </w:pPr>
      <w:r>
        <w:rPr>
          <w:rFonts w:hint="eastAsia" w:ascii="宋体" w:hAnsi="宋体"/>
          <w:bCs/>
        </w:rPr>
        <w:t>④应急处置流程</w:t>
      </w:r>
    </w:p>
    <w:p>
      <w:pPr>
        <w:adjustRightInd w:val="0"/>
        <w:snapToGrid w:val="0"/>
        <w:spacing w:line="360" w:lineRule="auto"/>
        <w:ind w:firstLine="480" w:firstLineChars="200"/>
        <w:jc w:val="left"/>
        <w:rPr>
          <w:rFonts w:ascii="宋体" w:hAnsi="宋体"/>
          <w:bCs/>
        </w:rPr>
      </w:pPr>
      <w:r>
        <w:rPr>
          <w:rFonts w:hint="eastAsia" w:ascii="宋体" w:hAnsi="宋体"/>
          <w:bCs/>
        </w:rPr>
        <w:t>应急报备：抵达现场后10分钟内向采购人现场负责人报备处置方案；</w:t>
      </w:r>
    </w:p>
    <w:p>
      <w:pPr>
        <w:adjustRightInd w:val="0"/>
        <w:snapToGrid w:val="0"/>
        <w:spacing w:line="360" w:lineRule="auto"/>
        <w:ind w:firstLine="480" w:firstLineChars="200"/>
        <w:jc w:val="left"/>
        <w:rPr>
          <w:rFonts w:ascii="宋体" w:hAnsi="宋体"/>
          <w:bCs/>
        </w:rPr>
      </w:pPr>
      <w:r>
        <w:rPr>
          <w:rFonts w:hint="eastAsia" w:ascii="宋体" w:hAnsi="宋体"/>
          <w:bCs/>
        </w:rPr>
        <w:t>优先抢修：优先修复影响检测的核心功能，保障临时使用；</w:t>
      </w:r>
    </w:p>
    <w:p>
      <w:pPr>
        <w:adjustRightInd w:val="0"/>
        <w:snapToGrid w:val="0"/>
        <w:spacing w:line="360" w:lineRule="auto"/>
        <w:ind w:firstLine="480" w:firstLineChars="200"/>
        <w:jc w:val="left"/>
        <w:rPr>
          <w:rFonts w:ascii="宋体" w:hAnsi="宋体"/>
          <w:bCs/>
        </w:rPr>
      </w:pPr>
      <w:r>
        <w:rPr>
          <w:rFonts w:hint="eastAsia" w:ascii="宋体" w:hAnsi="宋体"/>
          <w:bCs/>
        </w:rPr>
        <w:t>应急报告：应急处置完成后24小时内提交《突发故障应急处置报告》，分析故障诱因、整改措施。</w:t>
      </w:r>
    </w:p>
    <w:p>
      <w:pPr>
        <w:adjustRightInd w:val="0"/>
        <w:snapToGrid w:val="0"/>
        <w:spacing w:line="360" w:lineRule="auto"/>
        <w:ind w:firstLine="480" w:firstLineChars="200"/>
        <w:jc w:val="left"/>
        <w:rPr>
          <w:rFonts w:ascii="宋体" w:hAnsi="宋体"/>
          <w:bCs/>
        </w:rPr>
      </w:pPr>
      <w:r>
        <w:rPr>
          <w:rFonts w:hint="eastAsia" w:ascii="宋体" w:hAnsi="宋体"/>
          <w:bCs/>
        </w:rPr>
        <w:t>若设备短期无法修复，配合采购人完成检测任务分流、仪器调配指导，提供临时技术支持。</w:t>
      </w:r>
    </w:p>
    <w:p>
      <w:pPr>
        <w:adjustRightInd w:val="0"/>
        <w:snapToGrid w:val="0"/>
        <w:spacing w:line="360" w:lineRule="auto"/>
        <w:ind w:firstLine="482" w:firstLineChars="200"/>
        <w:jc w:val="left"/>
        <w:rPr>
          <w:rFonts w:ascii="宋体" w:hAnsi="宋体"/>
          <w:b/>
        </w:rPr>
      </w:pPr>
      <w:r>
        <w:rPr>
          <w:rFonts w:hint="eastAsia" w:ascii="宋体" w:hAnsi="宋体"/>
          <w:b/>
        </w:rPr>
        <w:t>（6）质量保证措施</w:t>
      </w:r>
    </w:p>
    <w:p>
      <w:pPr>
        <w:adjustRightInd w:val="0"/>
        <w:snapToGrid w:val="0"/>
        <w:spacing w:line="360" w:lineRule="auto"/>
        <w:ind w:firstLine="480" w:firstLineChars="200"/>
        <w:jc w:val="left"/>
        <w:rPr>
          <w:rFonts w:ascii="宋体" w:hAnsi="宋体"/>
          <w:bCs/>
        </w:rPr>
      </w:pPr>
      <w:r>
        <w:rPr>
          <w:rFonts w:hint="eastAsia" w:ascii="宋体" w:hAnsi="宋体"/>
          <w:bCs/>
        </w:rPr>
        <w:t>①服务质量溯源</w:t>
      </w:r>
    </w:p>
    <w:p>
      <w:pPr>
        <w:adjustRightInd w:val="0"/>
        <w:snapToGrid w:val="0"/>
        <w:spacing w:line="360" w:lineRule="auto"/>
        <w:ind w:firstLine="480" w:firstLineChars="200"/>
        <w:jc w:val="left"/>
        <w:rPr>
          <w:rFonts w:ascii="宋体" w:hAnsi="宋体"/>
          <w:bCs/>
        </w:rPr>
      </w:pPr>
      <w:r>
        <w:rPr>
          <w:rFonts w:hint="eastAsia" w:ascii="宋体" w:hAnsi="宋体"/>
          <w:bCs/>
        </w:rPr>
        <w:t>所有维保、维修、应急服务资料（记录、照片、报告、报价单、验收单）分类归档，电子档案保存期≥3年，纸质档案保存期≥2年，档案可随时调阅，调阅响应时长≤2小时。</w:t>
      </w:r>
    </w:p>
    <w:p>
      <w:pPr>
        <w:adjustRightInd w:val="0"/>
        <w:snapToGrid w:val="0"/>
        <w:spacing w:line="360" w:lineRule="auto"/>
        <w:ind w:firstLine="480" w:firstLineChars="200"/>
        <w:jc w:val="left"/>
        <w:rPr>
          <w:rFonts w:ascii="宋体" w:hAnsi="宋体"/>
          <w:bCs/>
        </w:rPr>
      </w:pPr>
      <w:r>
        <w:rPr>
          <w:rFonts w:hint="eastAsia" w:ascii="宋体" w:hAnsi="宋体"/>
          <w:bCs/>
        </w:rPr>
        <w:t>建立设备终身服务台账，单台设备所有维保、维修记录一一关联，台账完整率100%。</w:t>
      </w:r>
    </w:p>
    <w:p>
      <w:pPr>
        <w:adjustRightInd w:val="0"/>
        <w:snapToGrid w:val="0"/>
        <w:spacing w:line="360" w:lineRule="auto"/>
        <w:ind w:firstLine="480" w:firstLineChars="200"/>
        <w:jc w:val="left"/>
        <w:rPr>
          <w:rFonts w:ascii="宋体" w:hAnsi="宋体"/>
          <w:bCs/>
        </w:rPr>
      </w:pPr>
      <w:r>
        <w:rPr>
          <w:rFonts w:hint="eastAsia" w:ascii="宋体" w:hAnsi="宋体"/>
          <w:bCs/>
        </w:rPr>
        <w:t>②投诉处理</w:t>
      </w:r>
    </w:p>
    <w:p>
      <w:pPr>
        <w:adjustRightInd w:val="0"/>
        <w:snapToGrid w:val="0"/>
        <w:spacing w:line="360" w:lineRule="auto"/>
        <w:ind w:firstLine="480" w:firstLineChars="200"/>
        <w:jc w:val="left"/>
        <w:rPr>
          <w:rFonts w:ascii="宋体" w:hAnsi="宋体"/>
          <w:bCs/>
        </w:rPr>
      </w:pPr>
      <w:r>
        <w:rPr>
          <w:rFonts w:hint="eastAsia" w:ascii="宋体" w:hAnsi="宋体"/>
          <w:bCs/>
        </w:rPr>
        <w:t>设立专属投诉对接人，投诉渠道：电话、工作群、书面函件；</w:t>
      </w:r>
    </w:p>
    <w:p>
      <w:pPr>
        <w:adjustRightInd w:val="0"/>
        <w:snapToGrid w:val="0"/>
        <w:spacing w:line="360" w:lineRule="auto"/>
        <w:ind w:firstLine="480" w:firstLineChars="200"/>
        <w:jc w:val="left"/>
        <w:rPr>
          <w:rFonts w:ascii="宋体" w:hAnsi="宋体"/>
          <w:bCs/>
        </w:rPr>
      </w:pPr>
      <w:r>
        <w:rPr>
          <w:rFonts w:hint="eastAsia" w:ascii="宋体" w:hAnsi="宋体"/>
          <w:bCs/>
        </w:rPr>
        <w:t>接到投诉后2小时内受理登记，24小时内现场核查并给出整改方案，3个工作日内完成整改并回访；</w:t>
      </w:r>
    </w:p>
    <w:p>
      <w:pPr>
        <w:adjustRightInd w:val="0"/>
        <w:snapToGrid w:val="0"/>
        <w:spacing w:line="360" w:lineRule="auto"/>
        <w:ind w:firstLine="480" w:firstLineChars="200"/>
        <w:jc w:val="left"/>
        <w:rPr>
          <w:rFonts w:ascii="宋体" w:hAnsi="宋体"/>
          <w:bCs/>
        </w:rPr>
      </w:pPr>
      <w:r>
        <w:rPr>
          <w:rFonts w:hint="eastAsia" w:ascii="宋体" w:hAnsi="宋体"/>
          <w:bCs/>
        </w:rPr>
        <w:t>服务期内有效投诉发生率≤2起，投诉整改完成率100%，回访满意度100%。</w:t>
      </w:r>
    </w:p>
    <w:p>
      <w:pPr>
        <w:adjustRightInd w:val="0"/>
        <w:snapToGrid w:val="0"/>
        <w:spacing w:line="360" w:lineRule="auto"/>
        <w:ind w:firstLine="480" w:firstLineChars="200"/>
        <w:jc w:val="left"/>
        <w:rPr>
          <w:rFonts w:ascii="宋体" w:hAnsi="宋体"/>
          <w:bCs/>
        </w:rPr>
      </w:pPr>
      <w:r>
        <w:rPr>
          <w:rFonts w:hint="eastAsia" w:ascii="宋体" w:hAnsi="宋体"/>
          <w:bCs/>
        </w:rPr>
        <w:t>③配件与耗材质量管控量化</w:t>
      </w:r>
    </w:p>
    <w:p>
      <w:pPr>
        <w:adjustRightInd w:val="0"/>
        <w:snapToGrid w:val="0"/>
        <w:spacing w:line="360" w:lineRule="auto"/>
        <w:ind w:firstLine="480" w:firstLineChars="200"/>
        <w:jc w:val="left"/>
        <w:rPr>
          <w:rFonts w:ascii="宋体" w:hAnsi="宋体"/>
          <w:bCs/>
        </w:rPr>
      </w:pPr>
      <w:r>
        <w:rPr>
          <w:rFonts w:hint="eastAsia" w:ascii="宋体" w:hAnsi="宋体"/>
          <w:bCs/>
        </w:rPr>
        <w:t>建立配件进货查验制度，每批次配件留存供应商资质、出厂合格证、溯源码，查验记录随配件同步归档，不合格配件零流入现场。</w:t>
      </w:r>
    </w:p>
    <w:p>
      <w:pPr>
        <w:adjustRightInd w:val="0"/>
        <w:snapToGrid w:val="0"/>
        <w:spacing w:line="360" w:lineRule="auto"/>
        <w:ind w:firstLine="480" w:firstLineChars="200"/>
        <w:jc w:val="left"/>
        <w:rPr>
          <w:rFonts w:ascii="宋体" w:hAnsi="宋体"/>
          <w:bCs/>
        </w:rPr>
      </w:pPr>
      <w:r>
        <w:rPr>
          <w:rFonts w:hint="eastAsia" w:ascii="宋体" w:hAnsi="宋体"/>
          <w:bCs/>
        </w:rPr>
        <w:t>严禁使用过期、翻新、三无耗材，定期开展耗材/配件自查，自查报告提交采购人。</w:t>
      </w:r>
    </w:p>
    <w:p>
      <w:pPr>
        <w:adjustRightInd w:val="0"/>
        <w:snapToGrid w:val="0"/>
        <w:spacing w:line="360" w:lineRule="auto"/>
        <w:ind w:firstLine="480" w:firstLineChars="200"/>
        <w:jc w:val="left"/>
        <w:rPr>
          <w:rFonts w:ascii="宋体" w:hAnsi="宋体"/>
          <w:bCs/>
        </w:rPr>
      </w:pPr>
      <w:r>
        <w:rPr>
          <w:rFonts w:hint="eastAsia" w:ascii="宋体" w:hAnsi="宋体"/>
          <w:bCs/>
        </w:rPr>
        <w:t>④履约合规量化</w:t>
      </w:r>
    </w:p>
    <w:p>
      <w:pPr>
        <w:adjustRightInd w:val="0"/>
        <w:snapToGrid w:val="0"/>
        <w:spacing w:line="360" w:lineRule="auto"/>
        <w:ind w:firstLine="480" w:firstLineChars="200"/>
        <w:jc w:val="left"/>
        <w:rPr>
          <w:rFonts w:ascii="宋体" w:hAnsi="宋体"/>
          <w:bCs/>
        </w:rPr>
      </w:pPr>
      <w:r>
        <w:rPr>
          <w:rFonts w:hint="eastAsia" w:ascii="宋体" w:hAnsi="宋体"/>
          <w:bCs/>
        </w:rPr>
        <w:t>严格遵守禁止转包、分包要求，服务全程由本单位自有人员实施，转包/分包一经查实，按违约处理。</w:t>
      </w:r>
    </w:p>
    <w:p>
      <w:pPr>
        <w:adjustRightInd w:val="0"/>
        <w:snapToGrid w:val="0"/>
        <w:spacing w:line="360" w:lineRule="auto"/>
        <w:ind w:firstLine="480" w:firstLineChars="200"/>
        <w:jc w:val="left"/>
        <w:rPr>
          <w:rFonts w:ascii="宋体" w:hAnsi="宋体"/>
          <w:bCs/>
        </w:rPr>
      </w:pPr>
      <w:r>
        <w:rPr>
          <w:rFonts w:hint="eastAsia" w:ascii="宋体" w:hAnsi="宋体"/>
          <w:bCs/>
        </w:rPr>
        <w:t>严格执行报价折扣、限价要求，每月配合采购人完成费用对账，对账误差率≤0%。</w:t>
      </w:r>
    </w:p>
    <w:p>
      <w:pPr>
        <w:adjustRightInd w:val="0"/>
        <w:snapToGrid w:val="0"/>
        <w:spacing w:line="360" w:lineRule="auto"/>
        <w:ind w:firstLine="480" w:firstLineChars="200"/>
        <w:jc w:val="left"/>
        <w:rPr>
          <w:rFonts w:ascii="宋体" w:hAnsi="宋体"/>
          <w:bCs/>
        </w:rPr>
      </w:pPr>
      <w:r>
        <w:rPr>
          <w:rFonts w:hint="eastAsia" w:ascii="宋体" w:hAnsi="宋体"/>
          <w:bCs/>
        </w:rPr>
        <w:t>每年年底开展服务质量全面复盘，形成《年度质量分析报告》，包含故障统计、质量问题、整改落地、优化方案，针对高频故障提出设备运维优化建议。</w:t>
      </w:r>
    </w:p>
    <w:p>
      <w:pPr>
        <w:adjustRightInd w:val="0"/>
        <w:snapToGrid w:val="0"/>
        <w:spacing w:line="360" w:lineRule="auto"/>
        <w:ind w:firstLine="480" w:firstLineChars="200"/>
        <w:jc w:val="left"/>
        <w:rPr>
          <w:rFonts w:ascii="宋体" w:hAnsi="宋体"/>
          <w:bCs/>
        </w:rPr>
      </w:pPr>
      <w:r>
        <w:rPr>
          <w:rFonts w:hint="eastAsia" w:ascii="宋体" w:hAnsi="宋体"/>
          <w:bCs/>
        </w:rPr>
        <w:t>因工程师操作不当、使用劣质配件造成设备二次损坏，中标人免费维修并承担全部损失，同时出具书面整改承诺。</w:t>
      </w:r>
    </w:p>
    <w:p>
      <w:pPr>
        <w:autoSpaceDN w:val="0"/>
        <w:spacing w:line="360" w:lineRule="auto"/>
        <w:ind w:firstLine="482" w:firstLineChars="200"/>
        <w:outlineLvl w:val="2"/>
        <w:rPr>
          <w:rFonts w:ascii="宋体" w:cs="宋体"/>
          <w:b/>
          <w:bCs/>
        </w:rPr>
      </w:pPr>
      <w:r>
        <w:rPr>
          <w:rFonts w:hint="eastAsia" w:ascii="宋体" w:cs="宋体"/>
          <w:b/>
          <w:bCs/>
        </w:rPr>
        <w:t>五、验收要求</w:t>
      </w:r>
    </w:p>
    <w:p>
      <w:pPr>
        <w:adjustRightInd w:val="0"/>
        <w:snapToGrid w:val="0"/>
        <w:spacing w:line="360" w:lineRule="auto"/>
        <w:ind w:firstLine="480" w:firstLineChars="200"/>
        <w:jc w:val="left"/>
        <w:rPr>
          <w:rFonts w:ascii="宋体" w:hAnsi="宋体"/>
          <w:bCs/>
        </w:rPr>
      </w:pPr>
      <w:r>
        <w:rPr>
          <w:rFonts w:hint="eastAsia" w:ascii="宋体" w:hAnsi="宋体"/>
          <w:bCs/>
        </w:rPr>
        <w:t>1. 中标人应给出项目详细的设备维保服务方案。</w:t>
      </w:r>
    </w:p>
    <w:p>
      <w:pPr>
        <w:adjustRightInd w:val="0"/>
        <w:snapToGrid w:val="0"/>
        <w:spacing w:line="360" w:lineRule="auto"/>
        <w:ind w:firstLine="480" w:firstLineChars="200"/>
        <w:jc w:val="left"/>
        <w:rPr>
          <w:rFonts w:ascii="宋体" w:hAnsi="宋体"/>
          <w:bCs/>
        </w:rPr>
      </w:pPr>
      <w:r>
        <w:rPr>
          <w:rFonts w:hint="eastAsia" w:ascii="宋体" w:hAnsi="宋体"/>
          <w:bCs/>
        </w:rPr>
        <w:t>2. 验收由采购人、中标人及相关人员依国家有关标准、合同及有关附件要求进行：</w:t>
      </w:r>
    </w:p>
    <w:p>
      <w:pPr>
        <w:spacing w:before="120" w:after="120"/>
        <w:ind w:firstLine="480" w:firstLineChars="200"/>
        <w:jc w:val="left"/>
      </w:pPr>
      <w:r>
        <w:rPr>
          <w:rFonts w:hint="eastAsia" w:ascii="宋体" w:hAnsi="宋体"/>
          <w:bCs/>
        </w:rPr>
        <w:t>2.1 单次维修：单次维修完成后，设备故障彻底排除、整机调试正常，满足甲方检测使用需求，经甲方现场工作人员签字确认的，视为该次维修验收合格；</w:t>
      </w:r>
    </w:p>
    <w:p>
      <w:pPr>
        <w:adjustRightInd w:val="0"/>
        <w:snapToGrid w:val="0"/>
        <w:spacing w:line="360" w:lineRule="auto"/>
        <w:ind w:firstLine="480" w:firstLineChars="200"/>
        <w:jc w:val="left"/>
        <w:rPr>
          <w:rFonts w:ascii="宋体" w:cs="宋体"/>
          <w:b/>
          <w:bCs/>
        </w:rPr>
      </w:pPr>
      <w:r>
        <w:rPr>
          <w:rFonts w:hint="eastAsia" w:ascii="宋体" w:hAnsi="宋体"/>
          <w:bCs/>
        </w:rPr>
        <w:t>2.2 日常维保：中标人应严格按照投标文件维保方案完成设备维护、巡检保养工作，设备运行状态正常、维保记录完整规范且经双方签字确认的，视为当期维保验收合格。2.3 年度维保：合同期满，中标人提交全年维保记录、维修工单、年度服务总结，采购人综合验收合格后，完成维保费用最终结算。</w:t>
      </w:r>
    </w:p>
    <w:p>
      <w:pPr>
        <w:widowControl/>
        <w:autoSpaceDN w:val="0"/>
        <w:spacing w:line="360" w:lineRule="auto"/>
        <w:ind w:firstLine="482" w:firstLineChars="200"/>
        <w:jc w:val="left"/>
        <w:outlineLvl w:val="2"/>
        <w:rPr>
          <w:rFonts w:ascii="宋体" w:cs="宋体"/>
          <w:b/>
          <w:bCs/>
        </w:rPr>
      </w:pPr>
      <w:r>
        <w:rPr>
          <w:rFonts w:hint="eastAsia" w:ascii="宋体" w:cs="宋体"/>
          <w:b/>
          <w:bCs/>
        </w:rPr>
        <w:t>六、付款方式</w:t>
      </w:r>
    </w:p>
    <w:p>
      <w:pPr>
        <w:adjustRightInd w:val="0"/>
        <w:snapToGrid w:val="0"/>
        <w:spacing w:line="360" w:lineRule="auto"/>
        <w:ind w:firstLine="482" w:firstLineChars="200"/>
        <w:jc w:val="left"/>
        <w:rPr>
          <w:rFonts w:ascii="宋体" w:hAnsi="宋体"/>
          <w:b/>
        </w:rPr>
      </w:pPr>
      <w:r>
        <w:rPr>
          <w:rFonts w:hint="eastAsia" w:ascii="宋体" w:hAnsi="宋体"/>
          <w:b/>
        </w:rPr>
        <w:t>合同总费用＝维保结算总价，合同最终总额不得超过预算金额。</w:t>
      </w:r>
    </w:p>
    <w:p>
      <w:pPr>
        <w:adjustRightInd w:val="0"/>
        <w:snapToGrid w:val="0"/>
        <w:spacing w:line="360" w:lineRule="auto"/>
        <w:ind w:firstLine="480" w:firstLineChars="200"/>
        <w:jc w:val="left"/>
        <w:rPr>
          <w:rFonts w:ascii="宋体" w:hAnsi="宋体"/>
          <w:bCs/>
        </w:rPr>
      </w:pPr>
      <w:r>
        <w:rPr>
          <w:rFonts w:hint="eastAsia" w:ascii="宋体" w:hAnsi="宋体"/>
          <w:bCs/>
        </w:rPr>
        <w:t>1.本项目采用按进度每季度结算方式，按年度维保结算总价的25%实行固定比例季度结算。中标人每季度向采购人提交季度服务记录、费用明细及合法有效的增值税专用发票，经采购人审核无误后，由采购人向其财务部门发起支付中请，最终付款时间以财政拨款进度为准。中标人对此予以理解，并承诺不就此向采购人主张任何逾期付款利息或违约责任。</w:t>
      </w:r>
    </w:p>
    <w:p>
      <w:pPr>
        <w:adjustRightInd w:val="0"/>
        <w:snapToGrid w:val="0"/>
        <w:spacing w:line="360" w:lineRule="auto"/>
        <w:ind w:firstLine="480" w:firstLineChars="200"/>
        <w:jc w:val="left"/>
        <w:rPr>
          <w:rFonts w:ascii="宋体" w:hAnsi="宋体"/>
          <w:bCs/>
        </w:rPr>
      </w:pPr>
      <w:r>
        <w:rPr>
          <w:rFonts w:hint="eastAsia" w:ascii="宋体" w:hAnsi="宋体"/>
          <w:bCs/>
        </w:rPr>
        <w:t>2.采购人以中标人提供的增值税专用发票结算，支付方式为转账。若中标人出具虚假发票，一切法律后果均由成交供应商承担。中标人须在首次结算前以书面形式向甲方提供完整、准确的付款账户信息。因中标人账户信息填报错误、更新不及时等自身原因造成付款延误的，全部责任由中标人自行承担。</w:t>
      </w:r>
    </w:p>
    <w:p>
      <w:pPr>
        <w:widowControl/>
        <w:autoSpaceDN w:val="0"/>
        <w:spacing w:line="360" w:lineRule="auto"/>
        <w:ind w:firstLine="482" w:firstLineChars="200"/>
        <w:outlineLvl w:val="2"/>
        <w:rPr>
          <w:rFonts w:ascii="宋体" w:cs="宋体"/>
          <w:b/>
          <w:bCs/>
        </w:rPr>
      </w:pPr>
      <w:r>
        <w:rPr>
          <w:rFonts w:hint="eastAsia" w:ascii="宋体" w:cs="宋体"/>
          <w:b/>
          <w:bCs/>
        </w:rPr>
        <w:t>七、上述所有服务所需费用已包含在本次报价中，采购人不再额外支付与之相关的任何费用。</w:t>
      </w:r>
    </w:p>
    <w:p>
      <w:pPr>
        <w:widowControl/>
        <w:rPr>
          <w:rFonts w:ascii="宋体" w:cs="宋体"/>
          <w:b/>
          <w:bCs/>
        </w:rPr>
      </w:pPr>
      <w:r>
        <w:rPr>
          <w:rFonts w:hint="eastAsia" w:ascii="宋体" w:cs="宋体"/>
          <w:b/>
          <w:bCs/>
        </w:rPr>
        <w:br w:type="page"/>
      </w:r>
    </w:p>
    <w:p>
      <w:pPr>
        <w:tabs>
          <w:tab w:val="left" w:pos="420"/>
          <w:tab w:val="left" w:pos="525"/>
          <w:tab w:val="left" w:pos="851"/>
          <w:tab w:val="left" w:pos="3398"/>
        </w:tabs>
        <w:autoSpaceDE w:val="0"/>
        <w:autoSpaceDN w:val="0"/>
        <w:adjustRightInd w:val="0"/>
        <w:spacing w:before="163" w:beforeLines="50" w:line="360" w:lineRule="auto"/>
        <w:ind w:left="522" w:hanging="522"/>
        <w:outlineLvl w:val="2"/>
        <w:rPr>
          <w:rFonts w:ascii="宋体" w:cs="宋体"/>
          <w:b/>
          <w:bCs/>
          <w:color w:val="000000" w:themeColor="text1"/>
          <w:szCs w:val="21"/>
          <w14:textFill>
            <w14:solidFill>
              <w14:schemeClr w14:val="tx1"/>
            </w14:solidFill>
          </w14:textFill>
        </w:rPr>
      </w:pPr>
      <w:r>
        <w:rPr>
          <w:rFonts w:hint="eastAsia" w:ascii="宋体" w:cs="宋体"/>
          <w:b/>
          <w:bCs/>
        </w:rPr>
        <w:t>八、</w:t>
      </w:r>
      <w:r>
        <w:rPr>
          <w:rFonts w:hint="eastAsia" w:ascii="宋体" w:cs="宋体"/>
          <w:b/>
          <w:bCs/>
          <w:color w:val="000000" w:themeColor="text1"/>
          <w:szCs w:val="21"/>
          <w14:textFill>
            <w14:solidFill>
              <w14:schemeClr w14:val="tx1"/>
            </w14:solidFill>
          </w14:textFill>
        </w:rPr>
        <w:t>异常低价审查</w:t>
      </w:r>
    </w:p>
    <w:p>
      <w:pPr>
        <w:spacing w:line="360" w:lineRule="auto"/>
        <w:ind w:firstLine="480" w:firstLineChars="200"/>
      </w:pPr>
      <w:r>
        <w:rPr>
          <w:rFonts w:hint="eastAsia"/>
        </w:rPr>
        <w:t>根据财政部2026年1月14日发布的《关于推动解决政府采购异常低价问题的通知》规定，本项目将对投标人（供应商）的异常低价进行审查。</w:t>
      </w:r>
    </w:p>
    <w:p>
      <w:pPr>
        <w:spacing w:line="360" w:lineRule="auto"/>
        <w:ind w:firstLine="480" w:firstLineChars="200"/>
      </w:pPr>
      <w:r>
        <w:rPr>
          <w:rFonts w:hint="eastAsia"/>
        </w:rPr>
        <w:t>（一）如投标人（供应商）报价中出现下列情形之一的，评审委员会应当启动异常低价投标（响应）审查程序：</w:t>
      </w:r>
    </w:p>
    <w:p>
      <w:pPr>
        <w:spacing w:line="360" w:lineRule="auto"/>
        <w:ind w:firstLine="480" w:firstLineChars="200"/>
      </w:pPr>
      <w:r>
        <w:rPr>
          <w:rFonts w:hint="eastAsia"/>
        </w:rPr>
        <w:t>1.投标（响应）报价低于全部通过符合性审查供应商投标（响应）报价平均值50%的，即投标（响应）报价&lt;全部通过符合性审查供应商投标（响应）报价平均值×50%；</w:t>
      </w:r>
    </w:p>
    <w:p>
      <w:pPr>
        <w:spacing w:line="360" w:lineRule="auto"/>
        <w:ind w:firstLine="480" w:firstLineChars="200"/>
      </w:pPr>
      <w:r>
        <w:rPr>
          <w:rFonts w:hint="eastAsia"/>
        </w:rPr>
        <w:t>2.投标（响应）报价低于通过符合性审查的次低报价供应商投标（响应）报价50%的，即投标（响应）报价&lt;通过符合性审查的次低报价供应商投标（响应）报价×50%；</w:t>
      </w:r>
    </w:p>
    <w:p>
      <w:pPr>
        <w:spacing w:line="360" w:lineRule="auto"/>
        <w:ind w:firstLine="480" w:firstLineChars="200"/>
      </w:pPr>
      <w:r>
        <w:rPr>
          <w:rFonts w:hint="eastAsia"/>
        </w:rPr>
        <w:t>3.投标（响应）报价低于采购项目最高限价45%的，即投标（响应）报价&lt;采购项目最高限价×45%；</w:t>
      </w:r>
    </w:p>
    <w:p>
      <w:pPr>
        <w:spacing w:line="360" w:lineRule="auto"/>
        <w:ind w:firstLine="480" w:firstLineChars="200"/>
      </w:pPr>
      <w:r>
        <w:rPr>
          <w:rFonts w:hint="eastAsia"/>
        </w:rPr>
        <w:t>4.评审委员会基于专业判断，认为供应商报价过低，有可能影响产品质量或者不能诚信履约的其他情形。</w:t>
      </w:r>
    </w:p>
    <w:p>
      <w:pPr>
        <w:spacing w:line="360" w:lineRule="auto"/>
        <w:ind w:firstLine="480" w:firstLineChars="200"/>
      </w:pPr>
      <w:r>
        <w:rPr>
          <w:rFonts w:hint="eastAsi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spacing w:line="360" w:lineRule="auto"/>
        <w:ind w:firstLine="480" w:firstLineChars="200"/>
        <w:rPr>
          <w:color w:val="000000" w:themeColor="text1"/>
          <w14:textFill>
            <w14:solidFill>
              <w14:schemeClr w14:val="tx1"/>
            </w14:solidFill>
          </w14:textFill>
        </w:rPr>
      </w:pPr>
      <w:r>
        <w:rPr>
          <w:rFonts w:hint="eastAsia"/>
        </w:rPr>
        <w:t>异常低价投标(响应)审查的启动原因、审查意见和审查结果应当在评审报告中记录，并随供应商提供的相关书面说明及证明材料，以及评审委员会有关互联网浏览、查询历史一并归档。</w:t>
      </w:r>
    </w:p>
    <w:p>
      <w:pPr>
        <w:spacing w:line="360" w:lineRule="auto"/>
        <w:rPr>
          <w:rFonts w:ascii="宋体" w:cs="宋体"/>
          <w:b/>
          <w:color w:val="000000" w:themeColor="text1"/>
          <w:sz w:val="48"/>
          <w14:textFill>
            <w14:solidFill>
              <w14:schemeClr w14:val="tx1"/>
            </w14:solidFill>
          </w14:textFill>
        </w:rPr>
      </w:pPr>
      <w:r>
        <w:rPr>
          <w:rFonts w:ascii="宋体" w:cs="宋体"/>
          <w:b/>
          <w:color w:val="000000" w:themeColor="text1"/>
          <w:sz w:val="48"/>
          <w14:textFill>
            <w14:solidFill>
              <w14:schemeClr w14:val="tx1"/>
            </w14:solidFill>
          </w14:textFill>
        </w:rPr>
        <w:br w:type="page"/>
      </w:r>
    </w:p>
    <w:p>
      <w:pPr>
        <w:widowControl/>
        <w:autoSpaceDN w:val="0"/>
        <w:spacing w:line="360" w:lineRule="auto"/>
        <w:ind w:firstLine="482" w:firstLineChars="200"/>
        <w:outlineLvl w:val="2"/>
        <w:rPr>
          <w:rFonts w:ascii="宋体" w:cs="宋体"/>
          <w:b/>
          <w:bCs/>
        </w:rPr>
      </w:pPr>
      <w:r>
        <w:rPr>
          <w:rFonts w:hint="eastAsia" w:ascii="宋体" w:cs="宋体"/>
          <w:b/>
          <w:bCs/>
        </w:rPr>
        <w:t>十、需求附件</w:t>
      </w:r>
    </w:p>
    <w:p>
      <w:pPr>
        <w:rPr>
          <w:rFonts w:ascii="宋体" w:hAnsi="宋体"/>
          <w:b/>
          <w:bCs/>
        </w:rPr>
      </w:pPr>
      <w:r>
        <w:rPr>
          <w:rFonts w:hint="eastAsia" w:ascii="宋体" w:hAnsi="宋体"/>
          <w:b/>
          <w:bCs/>
        </w:rPr>
        <w:br w:type="page"/>
      </w:r>
    </w:p>
    <w:p>
      <w:pPr>
        <w:widowControl/>
        <w:autoSpaceDN w:val="0"/>
        <w:spacing w:line="360" w:lineRule="auto"/>
        <w:ind w:firstLine="482" w:firstLineChars="200"/>
        <w:outlineLvl w:val="3"/>
        <w:rPr>
          <w:rFonts w:ascii="宋体" w:cs="宋体"/>
          <w:b/>
          <w:bCs/>
        </w:rPr>
      </w:pPr>
      <w:r>
        <w:rPr>
          <w:rFonts w:hint="eastAsia" w:ascii="宋体" w:hAnsi="宋体"/>
          <w:b/>
          <w:bCs/>
        </w:rPr>
        <w:t>（一）</w:t>
      </w:r>
      <w:r>
        <w:rPr>
          <w:rFonts w:hint="eastAsia" w:ascii="宋体" w:cs="宋体"/>
          <w:b/>
          <w:bCs/>
        </w:rPr>
        <w:t>附件：</w:t>
      </w:r>
    </w:p>
    <w:p>
      <w:pPr>
        <w:adjustRightInd w:val="0"/>
        <w:snapToGrid w:val="0"/>
        <w:spacing w:line="360" w:lineRule="auto"/>
        <w:ind w:firstLine="482" w:firstLineChars="200"/>
        <w:jc w:val="left"/>
        <w:rPr>
          <w:rFonts w:ascii="宋体" w:hAnsi="宋体"/>
          <w:b/>
          <w:bCs/>
        </w:rPr>
      </w:pPr>
      <w:r>
        <w:rPr>
          <w:rFonts w:hint="eastAsia" w:ascii="宋体" w:hAnsi="宋体"/>
          <w:b/>
          <w:bCs/>
        </w:rPr>
        <w:t>广州海关技术中心2026年实验室仪器设备维保服务项目（子包2）维保设备清单（见附件1）、维保服务中的维修包含应消耗品清单（见附件2）。</w:t>
      </w:r>
    </w:p>
    <w:p>
      <w:pPr>
        <w:pStyle w:val="428"/>
        <w:widowControl/>
        <w:spacing w:line="360" w:lineRule="auto"/>
        <w:rPr>
          <w:rFonts w:ascii="宋体" w:hAnsi="宋体"/>
          <w:b/>
          <w:bCs/>
          <w:sz w:val="24"/>
        </w:rPr>
      </w:pPr>
      <w:r>
        <w:rPr>
          <w:rFonts w:hint="eastAsia" w:ascii="宋体" w:hAnsi="宋体"/>
          <w:b/>
          <w:bCs/>
          <w:sz w:val="24"/>
        </w:rPr>
        <w:t>附件 1 ：广州海关技术中心</w:t>
      </w:r>
      <w:r>
        <w:rPr>
          <w:rFonts w:ascii="宋体" w:hAnsi="宋体"/>
          <w:b/>
          <w:bCs/>
          <w:sz w:val="24"/>
        </w:rPr>
        <w:t>202</w:t>
      </w:r>
      <w:r>
        <w:rPr>
          <w:rFonts w:hint="eastAsia" w:ascii="宋体" w:hAnsi="宋体"/>
          <w:b/>
          <w:bCs/>
          <w:sz w:val="24"/>
        </w:rPr>
        <w:t>6年实验室仪器设备维保服务（子包2）设备清单</w:t>
      </w:r>
    </w:p>
    <w:tbl>
      <w:tblPr>
        <w:tblStyle w:val="30"/>
        <w:tblW w:w="8359" w:type="dxa"/>
        <w:tblInd w:w="113" w:type="dxa"/>
        <w:tblLayout w:type="fixed"/>
        <w:tblCellMar>
          <w:top w:w="0" w:type="dxa"/>
          <w:left w:w="108" w:type="dxa"/>
          <w:bottom w:w="0" w:type="dxa"/>
          <w:right w:w="108" w:type="dxa"/>
        </w:tblCellMar>
      </w:tblPr>
      <w:tblGrid>
        <w:gridCol w:w="459"/>
        <w:gridCol w:w="1663"/>
        <w:gridCol w:w="1559"/>
        <w:gridCol w:w="1843"/>
        <w:gridCol w:w="1701"/>
        <w:gridCol w:w="1134"/>
      </w:tblGrid>
      <w:tr>
        <w:tblPrEx>
          <w:tblCellMar>
            <w:top w:w="0" w:type="dxa"/>
            <w:left w:w="108" w:type="dxa"/>
            <w:bottom w:w="0" w:type="dxa"/>
            <w:right w:w="108" w:type="dxa"/>
          </w:tblCellMar>
        </w:tblPrEx>
        <w:trPr>
          <w:trHeight w:val="702" w:hRule="atLeast"/>
        </w:trPr>
        <w:tc>
          <w:tcPr>
            <w:tcW w:w="4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kern w:val="0"/>
                <w:szCs w:val="21"/>
              </w:rPr>
            </w:pPr>
            <w:r>
              <w:rPr>
                <w:rFonts w:hint="eastAsia" w:ascii="方正仿宋_GBK" w:hAnsi="宋体" w:eastAsia="方正仿宋_GBK" w:cs="宋体"/>
                <w:b/>
                <w:bCs/>
                <w:kern w:val="0"/>
                <w:szCs w:val="21"/>
              </w:rPr>
              <w:t>序号</w:t>
            </w:r>
          </w:p>
        </w:tc>
        <w:tc>
          <w:tcPr>
            <w:tcW w:w="1663"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kern w:val="0"/>
                <w:szCs w:val="21"/>
              </w:rPr>
            </w:pPr>
            <w:r>
              <w:rPr>
                <w:rFonts w:hint="eastAsia" w:ascii="方正仿宋_GBK" w:hAnsi="宋体" w:eastAsia="方正仿宋_GBK" w:cs="宋体"/>
                <w:b/>
                <w:bCs/>
                <w:kern w:val="0"/>
                <w:szCs w:val="21"/>
              </w:rPr>
              <w:t>设备编号</w:t>
            </w:r>
          </w:p>
        </w:tc>
        <w:tc>
          <w:tcPr>
            <w:tcW w:w="1559"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b/>
                <w:bCs/>
                <w:kern w:val="0"/>
              </w:rPr>
            </w:pPr>
            <w:r>
              <w:rPr>
                <w:rFonts w:hint="eastAsia"/>
                <w:b/>
                <w:bCs/>
              </w:rPr>
              <w:t>仪器型号</w:t>
            </w:r>
          </w:p>
        </w:tc>
        <w:tc>
          <w:tcPr>
            <w:tcW w:w="1843"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kern w:val="0"/>
                <w:szCs w:val="21"/>
              </w:rPr>
            </w:pPr>
            <w:r>
              <w:rPr>
                <w:rFonts w:hint="eastAsia" w:ascii="方正仿宋_GBK" w:hAnsi="宋体" w:eastAsia="方正仿宋_GBK" w:cs="宋体"/>
                <w:b/>
                <w:bCs/>
                <w:kern w:val="0"/>
                <w:szCs w:val="21"/>
              </w:rPr>
              <w:t>仪器序列号</w:t>
            </w:r>
          </w:p>
        </w:tc>
        <w:tc>
          <w:tcPr>
            <w:tcW w:w="170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kern w:val="0"/>
                <w:szCs w:val="21"/>
              </w:rPr>
            </w:pPr>
            <w:r>
              <w:rPr>
                <w:rFonts w:hint="eastAsia" w:ascii="方正仿宋_GBK" w:hAnsi="宋体" w:eastAsia="方正仿宋_GBK" w:cs="宋体"/>
                <w:b/>
                <w:bCs/>
                <w:kern w:val="0"/>
                <w:szCs w:val="21"/>
              </w:rPr>
              <w:t>设备名称</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kern w:val="0"/>
                <w:szCs w:val="21"/>
              </w:rPr>
            </w:pPr>
            <w:r>
              <w:rPr>
                <w:rFonts w:hint="eastAsia" w:ascii="方正仿宋_GBK" w:hAnsi="宋体" w:eastAsia="方正仿宋_GBK" w:cs="宋体"/>
                <w:b/>
                <w:bCs/>
                <w:kern w:val="0"/>
                <w:szCs w:val="21"/>
              </w:rPr>
              <w:t>维保价*（元）</w:t>
            </w:r>
          </w:p>
        </w:tc>
      </w:tr>
      <w:tr>
        <w:tblPrEx>
          <w:tblCellMar>
            <w:top w:w="0" w:type="dxa"/>
            <w:left w:w="108" w:type="dxa"/>
            <w:bottom w:w="0" w:type="dxa"/>
            <w:right w:w="108" w:type="dxa"/>
          </w:tblCellMar>
        </w:tblPrEx>
        <w:trPr>
          <w:trHeight w:val="70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1</w:t>
            </w:r>
          </w:p>
        </w:tc>
        <w:tc>
          <w:tcPr>
            <w:tcW w:w="1663"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kern w:val="0"/>
              </w:rPr>
            </w:pPr>
            <w:r>
              <w:rPr>
                <w:rFonts w:hint="eastAsia"/>
              </w:rPr>
              <w:t>1060309200001</w:t>
            </w:r>
          </w:p>
        </w:tc>
        <w:tc>
          <w:tcPr>
            <w:tcW w:w="1559"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kern w:val="0"/>
              </w:rPr>
            </w:pPr>
            <w:r>
              <w:rPr>
                <w:rFonts w:hint="eastAsia"/>
              </w:rPr>
              <w:t>ISQ TRACE 1300</w:t>
            </w:r>
          </w:p>
        </w:tc>
        <w:tc>
          <w:tcPr>
            <w:tcW w:w="1843"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kern w:val="0"/>
              </w:rPr>
            </w:pPr>
            <w:r>
              <w:rPr>
                <w:rFonts w:hint="eastAsia"/>
              </w:rPr>
              <w:t xml:space="preserve"> ISQ1701565</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kern w:val="0"/>
              </w:rPr>
            </w:pPr>
            <w:r>
              <w:rPr>
                <w:rFonts w:hint="eastAsia"/>
              </w:rPr>
              <w:t>质谱仪-气相质谱联用仪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p>
        </w:tc>
      </w:tr>
      <w:tr>
        <w:tblPrEx>
          <w:tblCellMar>
            <w:top w:w="0" w:type="dxa"/>
            <w:left w:w="108" w:type="dxa"/>
            <w:bottom w:w="0" w:type="dxa"/>
            <w:right w:w="108" w:type="dxa"/>
          </w:tblCellMar>
        </w:tblPrEx>
        <w:trPr>
          <w:trHeight w:val="70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2</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201444AT0007</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TRACE 1300 ISQ LT-Ultimate3000</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ISQ141118(气质）</w:t>
            </w:r>
            <w:r>
              <w:rPr>
                <w:rFonts w:hint="eastAsia"/>
              </w:rPr>
              <w:br w:type="textWrapping"/>
            </w:r>
            <w:r>
              <w:rPr>
                <w:rFonts w:hint="eastAsia"/>
              </w:rPr>
              <w:t>8093440（液相）</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在线GPC-GCMS分析系统（气相色谱质谱联用仪）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p>
        </w:tc>
      </w:tr>
      <w:tr>
        <w:tblPrEx>
          <w:tblCellMar>
            <w:top w:w="0" w:type="dxa"/>
            <w:left w:w="108" w:type="dxa"/>
            <w:bottom w:w="0" w:type="dxa"/>
            <w:right w:w="108" w:type="dxa"/>
          </w:tblCellMar>
        </w:tblPrEx>
        <w:trPr>
          <w:trHeight w:val="825"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3</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201344CF0057</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Delta V</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SN08852D</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同位素质谱仪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p>
        </w:tc>
      </w:tr>
      <w:tr>
        <w:tblPrEx>
          <w:tblCellMar>
            <w:top w:w="0" w:type="dxa"/>
            <w:left w:w="108" w:type="dxa"/>
            <w:bottom w:w="0" w:type="dxa"/>
            <w:right w:w="108" w:type="dxa"/>
          </w:tblCellMar>
        </w:tblPrEx>
        <w:trPr>
          <w:trHeight w:val="66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4</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201544CF0055</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Q-Exactive</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SN02357L</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液相色谱-飞行时间-串联四级杆质谱仪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p>
        </w:tc>
      </w:tr>
      <w:tr>
        <w:tblPrEx>
          <w:tblCellMar>
            <w:top w:w="0" w:type="dxa"/>
            <w:left w:w="108" w:type="dxa"/>
            <w:bottom w:w="0" w:type="dxa"/>
            <w:right w:w="108" w:type="dxa"/>
          </w:tblCellMar>
        </w:tblPrEx>
        <w:trPr>
          <w:trHeight w:val="900"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5</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201444AT0094</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Thermo TSQ Quantiva</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TQH-Q1-0243</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液相色谱-质谱联用仪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p>
        </w:tc>
      </w:tr>
      <w:tr>
        <w:tblPrEx>
          <w:tblCellMar>
            <w:top w:w="0" w:type="dxa"/>
            <w:left w:w="108" w:type="dxa"/>
            <w:bottom w:w="0" w:type="dxa"/>
            <w:right w:w="108" w:type="dxa"/>
          </w:tblCellMar>
        </w:tblPrEx>
        <w:trPr>
          <w:trHeight w:val="91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6</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201444AT0048</w:t>
            </w:r>
          </w:p>
        </w:tc>
        <w:tc>
          <w:tcPr>
            <w:tcW w:w="1559" w:type="dxa"/>
            <w:tcBorders>
              <w:top w:val="nil"/>
              <w:left w:val="nil"/>
              <w:bottom w:val="single" w:color="auto" w:sz="4" w:space="0"/>
              <w:right w:val="single" w:color="auto" w:sz="4" w:space="0"/>
            </w:tcBorders>
            <w:vAlign w:val="center"/>
          </w:tcPr>
          <w:p>
            <w:r>
              <w:rPr>
                <w:rFonts w:hint="eastAsia"/>
              </w:rPr>
              <w:t>TSQ 8000 EVO</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TSQ8140917</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气相色谱-质谱/质谱联用仪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szCs w:val="21"/>
              </w:rPr>
            </w:pPr>
          </w:p>
        </w:tc>
      </w:tr>
      <w:tr>
        <w:tblPrEx>
          <w:tblCellMar>
            <w:top w:w="0" w:type="dxa"/>
            <w:left w:w="108" w:type="dxa"/>
            <w:bottom w:w="0" w:type="dxa"/>
            <w:right w:w="108" w:type="dxa"/>
          </w:tblCellMar>
        </w:tblPrEx>
        <w:trPr>
          <w:trHeight w:val="854"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7</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201444AT0076</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ICS-5000</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14082743</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离子色谱仪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szCs w:val="21"/>
              </w:rPr>
            </w:pPr>
          </w:p>
        </w:tc>
      </w:tr>
      <w:tr>
        <w:tblPrEx>
          <w:tblCellMar>
            <w:top w:w="0" w:type="dxa"/>
            <w:left w:w="108" w:type="dxa"/>
            <w:bottom w:w="0" w:type="dxa"/>
            <w:right w:w="108" w:type="dxa"/>
          </w:tblCellMar>
        </w:tblPrEx>
        <w:trPr>
          <w:trHeight w:val="555"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kern w:val="0"/>
                <w:szCs w:val="21"/>
              </w:rPr>
            </w:pPr>
            <w:r>
              <w:rPr>
                <w:rFonts w:hint="eastAsia" w:ascii="方正仿宋_GBK" w:hAnsi="宋体" w:eastAsia="方正仿宋_GBK" w:cs="宋体"/>
                <w:kern w:val="0"/>
                <w:szCs w:val="21"/>
              </w:rPr>
              <w:t>8</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201444AT0070</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ICAP Qc</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SN03227R</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电感耦合等离子质谱仪 ICAP Qc</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szCs w:val="21"/>
              </w:rPr>
            </w:pPr>
          </w:p>
        </w:tc>
      </w:tr>
    </w:tbl>
    <w:p>
      <w:pPr>
        <w:spacing w:line="360" w:lineRule="auto"/>
        <w:jc w:val="left"/>
        <w:rPr>
          <w:rFonts w:ascii="楷体" w:hAnsi="楷体" w:eastAsia="楷体"/>
          <w:b/>
          <w:sz w:val="32"/>
          <w:szCs w:val="32"/>
        </w:rPr>
      </w:pPr>
      <w:r>
        <w:rPr>
          <w:rFonts w:hint="eastAsia" w:ascii="方正仿宋_GBK" w:hAnsi="宋体" w:eastAsia="方正仿宋_GBK"/>
          <w:szCs w:val="21"/>
        </w:rPr>
        <w:t>备注：维保价只在签订合同时，由中标人列明具体对应价格。</w:t>
      </w:r>
    </w:p>
    <w:p>
      <w:pPr>
        <w:adjustRightInd w:val="0"/>
        <w:snapToGrid w:val="0"/>
        <w:spacing w:line="360" w:lineRule="auto"/>
        <w:jc w:val="left"/>
        <w:rPr>
          <w:rFonts w:ascii="宋体" w:hAnsi="宋体"/>
          <w:b/>
          <w:bCs/>
        </w:rPr>
      </w:pPr>
      <w:r>
        <w:rPr>
          <w:rFonts w:ascii="楷体" w:hAnsi="楷体" w:eastAsia="楷体"/>
          <w:b/>
          <w:sz w:val="32"/>
          <w:szCs w:val="32"/>
        </w:rPr>
        <w:br w:type="page"/>
      </w:r>
      <w:r>
        <w:rPr>
          <w:rFonts w:hint="eastAsia" w:ascii="楷体" w:hAnsi="楷体" w:eastAsia="楷体"/>
          <w:b/>
          <w:sz w:val="32"/>
          <w:szCs w:val="32"/>
        </w:rPr>
        <w:t>附件2</w:t>
      </w:r>
      <w:r>
        <w:rPr>
          <w:rFonts w:ascii="楷体" w:hAnsi="楷体" w:eastAsia="楷体"/>
          <w:b/>
          <w:sz w:val="32"/>
          <w:szCs w:val="32"/>
        </w:rPr>
        <w:t xml:space="preserve"> </w:t>
      </w:r>
      <w:r>
        <w:rPr>
          <w:rFonts w:hint="eastAsia" w:ascii="楷体" w:hAnsi="楷体" w:eastAsia="楷体"/>
          <w:b/>
          <w:sz w:val="32"/>
          <w:szCs w:val="32"/>
        </w:rPr>
        <w:t>：</w:t>
      </w:r>
      <w:r>
        <w:rPr>
          <w:rFonts w:hint="eastAsia" w:ascii="宋体" w:hAnsi="宋体"/>
          <w:b/>
          <w:bCs/>
        </w:rPr>
        <w:t>广州海关技术中心2026年实验室仪器设备维保服务项目（子包2）维保服务中的维修应包含的消耗品清单：</w:t>
      </w:r>
    </w:p>
    <w:tbl>
      <w:tblPr>
        <w:tblStyle w:val="30"/>
        <w:tblW w:w="5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08" w:type="dxa"/>
          <w:bottom w:w="15" w:type="dxa"/>
          <w:right w:w="108" w:type="dxa"/>
        </w:tblCellMar>
      </w:tblPr>
      <w:tblGrid>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445" w:hRule="atLeast"/>
          <w:jc w:val="center"/>
        </w:trPr>
        <w:tc>
          <w:tcPr>
            <w:tcW w:w="5103" w:type="dxa"/>
            <w:noWrap/>
            <w:vAlign w:val="bottom"/>
          </w:tcPr>
          <w:p>
            <w:pPr>
              <w:widowControl/>
              <w:rPr>
                <w:rFonts w:ascii="宋体" w:hAnsi="宋体"/>
                <w:b/>
                <w:bCs/>
              </w:rPr>
            </w:pPr>
            <w:r>
              <w:rPr>
                <w:rFonts w:hint="eastAsia" w:ascii="宋体" w:hAnsi="宋体"/>
                <w:b/>
                <w:bCs/>
              </w:rPr>
              <w:t>ICPMS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410" w:hRule="atLeast"/>
          <w:jc w:val="center"/>
        </w:trPr>
        <w:tc>
          <w:tcPr>
            <w:tcW w:w="5103" w:type="dxa"/>
            <w:noWrap/>
            <w:vAlign w:val="bottom"/>
          </w:tcPr>
          <w:p>
            <w:pPr>
              <w:widowControl/>
              <w:rPr>
                <w:rFonts w:ascii="宋体" w:hAnsi="宋体"/>
                <w:b/>
                <w:bCs/>
              </w:rPr>
            </w:pPr>
            <w:r>
              <w:rPr>
                <w:rFonts w:hint="eastAsia" w:ascii="宋体" w:hAnsi="宋体"/>
                <w:b/>
                <w:bCs/>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机械泵油雾过滤器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机械泵油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截取锥垫圈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采样锥石墨垫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炬室门内垫圈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接口盘垫圈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循环水过滤器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扩散阀垫圈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空气过滤器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330" w:hRule="atLeast"/>
          <w:jc w:val="center"/>
        </w:trPr>
        <w:tc>
          <w:tcPr>
            <w:tcW w:w="5103" w:type="dxa"/>
            <w:noWrap/>
            <w:vAlign w:val="bottom"/>
          </w:tcPr>
          <w:p>
            <w:pPr>
              <w:widowControl/>
              <w:jc w:val="left"/>
              <w:rPr>
                <w:rFonts w:eastAsia="等线" w:cs="宋体"/>
                <w:kern w:val="0"/>
                <w:sz w:val="22"/>
              </w:rPr>
            </w:pPr>
            <w:r>
              <w:rPr>
                <w:rFonts w:hint="eastAsia" w:eastAsia="等线" w:cs="宋体"/>
                <w:kern w:val="0"/>
                <w:sz w:val="22"/>
              </w:rPr>
              <w:t>RF</w:t>
            </w:r>
            <w:r>
              <w:rPr>
                <w:rFonts w:ascii="微软雅黑" w:hAnsi="微软雅黑" w:eastAsia="微软雅黑" w:cs="宋体"/>
                <w:kern w:val="0"/>
                <w:sz w:val="22"/>
              </w:rPr>
              <w:t>线圈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b/>
                <w:bCs/>
              </w:rPr>
            </w:pPr>
            <w:r>
              <w:rPr>
                <w:rFonts w:hint="eastAsia" w:ascii="宋体" w:hAnsi="宋体"/>
                <w:b/>
                <w:bCs/>
              </w:rPr>
              <w:t>液质联用仪</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vAlign w:val="bottom"/>
          </w:tcPr>
          <w:p>
            <w:pPr>
              <w:widowControl/>
              <w:rPr>
                <w:rFonts w:ascii="宋体" w:hAnsi="宋体"/>
                <w:b/>
                <w:bCs/>
              </w:rPr>
            </w:pPr>
            <w:r>
              <w:rPr>
                <w:rFonts w:hint="eastAsia" w:ascii="宋体" w:hAnsi="宋体"/>
                <w:b/>
                <w:bCs/>
              </w:rPr>
              <w:t>名称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eastAsia="等线" w:cs="Calibri"/>
                <w:kern w:val="0"/>
                <w:sz w:val="22"/>
              </w:rPr>
            </w:pPr>
            <w:r>
              <w:rPr>
                <w:rFonts w:ascii="Courier New" w:hAnsi="Courier New" w:eastAsia="等线" w:cs="Courier New"/>
                <w:kern w:val="0"/>
                <w:sz w:val="22"/>
              </w:rPr>
              <w:t>泵油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eastAsia="等线" w:cs="Calibri"/>
                <w:kern w:val="0"/>
                <w:sz w:val="22"/>
              </w:rPr>
            </w:pPr>
            <w:r>
              <w:rPr>
                <w:rFonts w:ascii="Courier New" w:hAnsi="Courier New" w:eastAsia="等线" w:cs="Courier New"/>
                <w:kern w:val="0"/>
                <w:sz w:val="22"/>
              </w:rPr>
              <w:t>油雾过滤器</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eastAsia="等线" w:cs="Calibri"/>
                <w:kern w:val="0"/>
                <w:sz w:val="22"/>
              </w:rPr>
            </w:pPr>
            <w:r>
              <w:rPr>
                <w:rFonts w:ascii="Courier New" w:hAnsi="Courier New" w:eastAsia="等线" w:cs="Courier New"/>
                <w:kern w:val="0"/>
                <w:sz w:val="22"/>
              </w:rPr>
              <w:t>常规流速喷针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eastAsia="等线" w:cs="Calibri"/>
                <w:kern w:val="0"/>
                <w:sz w:val="22"/>
              </w:rPr>
            </w:pPr>
            <w:r>
              <w:rPr>
                <w:rFonts w:ascii="Courier New" w:hAnsi="Courier New" w:eastAsia="等线" w:cs="Courier New"/>
                <w:kern w:val="0"/>
                <w:sz w:val="22"/>
              </w:rPr>
              <w:t>离子传输管密封圈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eastAsia="等线" w:cs="Calibri"/>
                <w:kern w:val="0"/>
                <w:sz w:val="22"/>
              </w:rPr>
            </w:pPr>
            <w:r>
              <w:rPr>
                <w:rFonts w:eastAsia="等线" w:cs="Calibri"/>
                <w:kern w:val="0"/>
                <w:sz w:val="22"/>
              </w:rPr>
              <w:t>O</w:t>
            </w:r>
            <w:r>
              <w:rPr>
                <w:rFonts w:ascii="Courier New" w:hAnsi="Courier New" w:eastAsia="等线" w:cs="Courier New"/>
                <w:kern w:val="0"/>
                <w:sz w:val="22"/>
              </w:rPr>
              <w:t>型圈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eastAsia="等线" w:cs="Calibri"/>
                <w:kern w:val="0"/>
                <w:sz w:val="22"/>
              </w:rPr>
            </w:pPr>
            <w:r>
              <w:rPr>
                <w:rFonts w:ascii="Courier New" w:hAnsi="Courier New" w:eastAsia="等线" w:cs="Courier New"/>
                <w:kern w:val="0"/>
                <w:sz w:val="22"/>
              </w:rPr>
              <w:t>空气滤网</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08" w:type="dxa"/>
            <w:bottom w:w="15" w:type="dxa"/>
            <w:right w:w="108" w:type="dxa"/>
          </w:tblCellMar>
        </w:tblPrEx>
        <w:trPr>
          <w:trHeight w:val="285" w:hRule="atLeast"/>
          <w:jc w:val="center"/>
        </w:trPr>
        <w:tc>
          <w:tcPr>
            <w:tcW w:w="5103"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ascii="Courier New" w:hAnsi="Courier New" w:eastAsia="等线" w:cs="Courier New"/>
                <w:kern w:val="0"/>
                <w:sz w:val="22"/>
              </w:rPr>
            </w:pPr>
            <w:r>
              <w:rPr>
                <w:rFonts w:hint="eastAsia" w:ascii="Courier New" w:hAnsi="Courier New" w:eastAsia="等线" w:cs="Courier New"/>
                <w:kern w:val="0"/>
                <w:sz w:val="22"/>
              </w:rPr>
              <w:t>校正液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42" w:hRule="atLeast"/>
          <w:jc w:val="center"/>
        </w:trPr>
        <w:tc>
          <w:tcPr>
            <w:tcW w:w="5103" w:type="dxa"/>
            <w:noWrap/>
            <w:vAlign w:val="center"/>
          </w:tcPr>
          <w:p>
            <w:pPr>
              <w:widowControl/>
              <w:jc w:val="left"/>
              <w:outlineLvl w:val="0"/>
              <w:rPr>
                <w:rFonts w:eastAsia="等线" w:cs="宋体"/>
                <w:b/>
                <w:kern w:val="0"/>
                <w:sz w:val="20"/>
                <w:szCs w:val="20"/>
              </w:rPr>
            </w:pPr>
            <w:r>
              <w:rPr>
                <w:rFonts w:hint="eastAsia" w:ascii="宋体" w:hAnsi="宋体"/>
                <w:b/>
                <w:bCs/>
              </w:rPr>
              <w:t>气质联用仪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472" w:hRule="atLeast"/>
          <w:jc w:val="center"/>
        </w:trPr>
        <w:tc>
          <w:tcPr>
            <w:tcW w:w="5103" w:type="dxa"/>
            <w:noWrap/>
            <w:vAlign w:val="center"/>
          </w:tcPr>
          <w:p>
            <w:pPr>
              <w:widowControl/>
              <w:jc w:val="left"/>
              <w:outlineLvl w:val="0"/>
              <w:rPr>
                <w:rFonts w:eastAsia="等线" w:cs="宋体"/>
                <w:b/>
                <w:kern w:val="0"/>
                <w:sz w:val="20"/>
                <w:szCs w:val="20"/>
              </w:rPr>
            </w:pPr>
            <w:r>
              <w:rPr>
                <w:rFonts w:hint="eastAsia" w:eastAsia="等线" w:cs="宋体"/>
                <w:b/>
                <w:kern w:val="0"/>
                <w:sz w:val="20"/>
                <w:szCs w:val="20"/>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进样口隔垫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分流平板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330"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衬管密封圈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泵油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分流/不分流衬管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GC三重滤芯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自动进样器橡皮筋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油雾过滤器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330"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打磨砂纸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收纳盒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85" w:hRule="atLeast"/>
          <w:jc w:val="center"/>
        </w:trPr>
        <w:tc>
          <w:tcPr>
            <w:tcW w:w="5103" w:type="dxa"/>
            <w:noWrap/>
            <w:vAlign w:val="center"/>
          </w:tcPr>
          <w:p>
            <w:pPr>
              <w:widowControl/>
              <w:jc w:val="left"/>
              <w:outlineLvl w:val="0"/>
              <w:rPr>
                <w:rFonts w:eastAsia="等线" w:cs="宋体"/>
                <w:kern w:val="0"/>
                <w:sz w:val="20"/>
                <w:szCs w:val="20"/>
              </w:rPr>
            </w:pPr>
            <w:r>
              <w:rPr>
                <w:rFonts w:eastAsia="等线" w:cs="宋体"/>
                <w:kern w:val="0"/>
                <w:sz w:val="20"/>
                <w:szCs w:val="20"/>
              </w:rPr>
              <w:t>手持式吸尘器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b/>
                <w:kern w:val="0"/>
                <w:sz w:val="20"/>
                <w:szCs w:val="20"/>
              </w:rPr>
            </w:pPr>
            <w:r>
              <w:rPr>
                <w:rFonts w:hint="eastAsia" w:ascii="宋体" w:hAnsi="宋体"/>
                <w:b/>
                <w:bCs/>
              </w:rPr>
              <w:t>离子色谱仪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b/>
                <w:kern w:val="0"/>
                <w:sz w:val="20"/>
                <w:szCs w:val="20"/>
              </w:rPr>
            </w:pPr>
            <w:r>
              <w:rPr>
                <w:rFonts w:hint="eastAsia" w:eastAsia="等线" w:cs="宋体"/>
                <w:b/>
                <w:kern w:val="0"/>
                <w:sz w:val="20"/>
                <w:szCs w:val="20"/>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后密封清洗密封圈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泵O型圈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支撑环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柱塞杆密封圈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入口单向阀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出口单向阀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后密封清洗蠕动泵管线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后密封清洗管线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5103" w:type="dxa"/>
            <w:noWrap/>
            <w:vAlign w:val="center"/>
          </w:tcPr>
          <w:p>
            <w:pPr>
              <w:widowControl/>
              <w:jc w:val="left"/>
              <w:outlineLvl w:val="0"/>
              <w:rPr>
                <w:rFonts w:eastAsia="等线" w:cs="宋体"/>
                <w:kern w:val="0"/>
                <w:sz w:val="20"/>
                <w:szCs w:val="20"/>
              </w:rPr>
            </w:pPr>
            <w:r>
              <w:rPr>
                <w:rFonts w:hint="eastAsia" w:eastAsia="等线" w:cs="宋体"/>
                <w:kern w:val="0"/>
                <w:sz w:val="20"/>
                <w:szCs w:val="20"/>
              </w:rPr>
              <w:t>排空阀密封圈</w:t>
            </w:r>
          </w:p>
        </w:tc>
      </w:tr>
    </w:tbl>
    <w:p>
      <w:pPr>
        <w:rPr>
          <w:rFonts w:ascii="方正仿宋_GBK" w:eastAsia="方正仿宋_GBK"/>
          <w:sz w:val="32"/>
          <w:szCs w:val="32"/>
        </w:rPr>
      </w:pPr>
      <w:r>
        <w:rPr>
          <w:rFonts w:hint="eastAsia" w:ascii="楷体" w:hAnsi="楷体" w:eastAsia="楷体"/>
          <w:b/>
          <w:sz w:val="32"/>
          <w:szCs w:val="32"/>
        </w:rPr>
        <w:t>备注：</w:t>
      </w:r>
      <w:r>
        <w:rPr>
          <w:rFonts w:hint="eastAsia" w:ascii="宋体" w:hAnsi="宋体"/>
          <w:bCs/>
        </w:rPr>
        <w:t>本项目维修服务包括技术中心所有珀金埃尔默P</w:t>
      </w:r>
      <w:r>
        <w:rPr>
          <w:rFonts w:ascii="宋体" w:hAnsi="宋体"/>
          <w:bCs/>
        </w:rPr>
        <w:t>E</w:t>
      </w:r>
      <w:r>
        <w:rPr>
          <w:rFonts w:hint="eastAsia" w:ascii="宋体" w:hAnsi="宋体"/>
          <w:bCs/>
        </w:rPr>
        <w:t>、</w:t>
      </w:r>
      <w:r>
        <w:rPr>
          <w:rFonts w:hint="eastAsia" w:ascii="宋体" w:hAnsi="宋体"/>
        </w:rPr>
        <w:t>赛默飞品牌的</w:t>
      </w:r>
      <w:r>
        <w:rPr>
          <w:rFonts w:hint="eastAsia" w:ascii="宋体" w:hAnsi="宋体"/>
          <w:bCs/>
        </w:rPr>
        <w:t>的仪器设备，附件2仅是其中主要一部分的仪器设备，其他小型、辅助未列。</w:t>
      </w:r>
    </w:p>
    <w:p>
      <w:pPr>
        <w:spacing w:line="360" w:lineRule="auto"/>
        <w:jc w:val="left"/>
        <w:rPr>
          <w:rFonts w:ascii="楷体" w:hAnsi="楷体" w:eastAsia="楷体"/>
          <w:b/>
          <w:sz w:val="32"/>
          <w:szCs w:val="32"/>
        </w:rPr>
      </w:pPr>
    </w:p>
    <w:p>
      <w:pPr>
        <w:widowControl/>
        <w:autoSpaceDN w:val="0"/>
        <w:spacing w:line="360" w:lineRule="auto"/>
        <w:ind w:firstLine="482" w:firstLineChars="200"/>
        <w:rPr>
          <w:rFonts w:ascii="宋体" w:cs="宋体"/>
          <w:b/>
          <w:bCs/>
        </w:rPr>
      </w:pPr>
    </w:p>
    <w:p>
      <w:pPr>
        <w:pStyle w:val="75"/>
        <w:jc w:val="center"/>
        <w:rPr>
          <w:rFonts w:ascii="宋体" w:cs="宋体"/>
          <w:b/>
          <w:sz w:val="48"/>
        </w:rPr>
      </w:pPr>
      <w:r>
        <w:rPr>
          <w:rFonts w:ascii="宋体" w:cs="宋体"/>
          <w:b/>
          <w:sz w:val="48"/>
        </w:rPr>
        <w:t>第三章 合同格式</w:t>
      </w:r>
    </w:p>
    <w:p>
      <w:pPr>
        <w:pStyle w:val="9"/>
        <w:rPr>
          <w:rFonts w:ascii="宋体"/>
        </w:rPr>
      </w:pPr>
    </w:p>
    <w:p>
      <w:pPr>
        <w:pStyle w:val="9"/>
        <w:rPr>
          <w:rFonts w:ascii="宋体"/>
        </w:rPr>
      </w:pPr>
    </w:p>
    <w:p>
      <w:pPr>
        <w:pStyle w:val="343"/>
        <w:tabs>
          <w:tab w:val="left" w:pos="720"/>
        </w:tabs>
        <w:spacing w:line="360" w:lineRule="auto"/>
        <w:rPr>
          <w:rFonts w:ascii="宋体"/>
          <w:b/>
          <w:szCs w:val="21"/>
        </w:rPr>
      </w:pPr>
    </w:p>
    <w:p>
      <w:pPr>
        <w:pStyle w:val="414"/>
        <w:snapToGrid w:val="0"/>
        <w:spacing w:line="360" w:lineRule="auto"/>
        <w:ind w:firstLine="141" w:firstLineChars="50"/>
        <w:jc w:val="center"/>
        <w:rPr>
          <w:rFonts w:ascii="宋体" w:cs="宋体"/>
          <w:b/>
          <w:bCs/>
          <w:sz w:val="28"/>
          <w:szCs w:val="28"/>
        </w:rPr>
      </w:pPr>
    </w:p>
    <w:p>
      <w:pPr>
        <w:spacing w:before="480" w:after="480"/>
        <w:jc w:val="center"/>
        <w:rPr>
          <w:rFonts w:eastAsia="等线"/>
        </w:rPr>
      </w:pPr>
      <w:r>
        <w:rPr>
          <w:rFonts w:hint="eastAsia" w:ascii="Arial" w:hAnsi="Arial" w:eastAsia="等线" w:cs="Arial"/>
          <w:b/>
          <w:sz w:val="52"/>
        </w:rPr>
        <w:t>广州海关技术中心2026年实验室仪器设备维保服务项目（三次）（采购包1）服务合同</w:t>
      </w:r>
    </w:p>
    <w:p>
      <w:pPr>
        <w:spacing w:before="120" w:after="120"/>
        <w:jc w:val="left"/>
      </w:pPr>
      <w:r>
        <w:rPr>
          <w:rFonts w:ascii="Arial" w:hAnsi="Arial" w:eastAsia="等线" w:cs="Arial"/>
          <w:sz w:val="22"/>
        </w:rPr>
        <w:t>根据《中华人民共和国民法典》《中华人民共和国政府采购法》及本项目招标文件、中标（成交）通知书、乙方投标文件，甲乙双方本着平等自愿、公平诚信、协商一致的原则，就甲方2026年度</w:t>
      </w:r>
      <w:r>
        <w:rPr>
          <w:rFonts w:hint="eastAsia" w:ascii="Arial" w:hAnsi="Arial" w:eastAsia="等线" w:cs="Arial"/>
          <w:sz w:val="22"/>
        </w:rPr>
        <w:t>赛默飞</w:t>
      </w:r>
      <w:r>
        <w:rPr>
          <w:rFonts w:ascii="Arial" w:hAnsi="Arial" w:eastAsia="等线" w:cs="Arial"/>
          <w:sz w:val="22"/>
        </w:rPr>
        <w:t>品牌设备维保服务事宜，订立本合同，以资共同信守。</w:t>
      </w:r>
    </w:p>
    <w:p>
      <w:pPr>
        <w:spacing w:before="380" w:after="140"/>
        <w:jc w:val="left"/>
        <w:outlineLvl w:val="0"/>
      </w:pPr>
      <w:r>
        <w:rPr>
          <w:rFonts w:ascii="Arial" w:hAnsi="Arial" w:eastAsia="等线" w:cs="Arial"/>
          <w:b/>
          <w:sz w:val="36"/>
        </w:rPr>
        <w:t>第一条 服务内容及范围</w:t>
      </w:r>
    </w:p>
    <w:p>
      <w:pPr>
        <w:spacing w:before="320" w:after="120"/>
        <w:jc w:val="left"/>
        <w:outlineLvl w:val="1"/>
      </w:pPr>
      <w:r>
        <w:rPr>
          <w:rFonts w:ascii="Arial" w:hAnsi="Arial" w:eastAsia="等线" w:cs="Arial"/>
          <w:b/>
          <w:sz w:val="32"/>
        </w:rPr>
        <w:t>1.1 维保服务</w:t>
      </w:r>
    </w:p>
    <w:p>
      <w:pPr>
        <w:spacing w:before="300" w:after="120"/>
        <w:jc w:val="left"/>
        <w:outlineLvl w:val="2"/>
      </w:pPr>
      <w:r>
        <w:rPr>
          <w:rFonts w:ascii="Arial" w:hAnsi="Arial" w:eastAsia="等线" w:cs="Arial"/>
          <w:b/>
          <w:sz w:val="30"/>
        </w:rPr>
        <w:t>1.1.1 服务对象</w:t>
      </w:r>
    </w:p>
    <w:p>
      <w:pPr>
        <w:spacing w:before="120" w:after="120"/>
        <w:jc w:val="left"/>
      </w:pPr>
      <w:r>
        <w:rPr>
          <w:rFonts w:ascii="Arial" w:hAnsi="Arial" w:eastAsia="等线" w:cs="Arial"/>
          <w:sz w:val="22"/>
        </w:rPr>
        <w:t>本合同服务对象为附件1《维保服务设备清单》所列</w:t>
      </w:r>
      <w:r>
        <w:rPr>
          <w:rFonts w:hint="eastAsia" w:ascii="Arial" w:hAnsi="Arial" w:eastAsia="等线" w:cs="Arial"/>
          <w:sz w:val="22"/>
        </w:rPr>
        <w:t>8</w:t>
      </w:r>
      <w:r>
        <w:rPr>
          <w:rFonts w:ascii="Arial" w:hAnsi="Arial" w:eastAsia="等线" w:cs="Arial"/>
          <w:sz w:val="22"/>
        </w:rPr>
        <w:t>台</w:t>
      </w:r>
      <w:r>
        <w:rPr>
          <w:rFonts w:hint="eastAsia" w:ascii="Arial" w:hAnsi="Arial" w:eastAsia="等线" w:cs="Arial"/>
          <w:sz w:val="22"/>
        </w:rPr>
        <w:t>赛默飞</w:t>
      </w:r>
      <w:r>
        <w:rPr>
          <w:rFonts w:ascii="Arial" w:hAnsi="Arial" w:eastAsia="等线" w:cs="Arial"/>
          <w:sz w:val="22"/>
        </w:rPr>
        <w:t>品牌设备。</w:t>
      </w:r>
    </w:p>
    <w:p>
      <w:pPr>
        <w:spacing w:before="300" w:after="120"/>
        <w:jc w:val="left"/>
        <w:outlineLvl w:val="2"/>
      </w:pPr>
      <w:r>
        <w:rPr>
          <w:rFonts w:ascii="Arial" w:hAnsi="Arial" w:eastAsia="等线" w:cs="Arial"/>
          <w:b/>
          <w:sz w:val="30"/>
        </w:rPr>
        <w:t>1.1.2 服务内容</w:t>
      </w:r>
    </w:p>
    <w:p>
      <w:pPr>
        <w:spacing w:before="120" w:after="120"/>
        <w:jc w:val="left"/>
      </w:pPr>
      <w:r>
        <w:rPr>
          <w:rFonts w:ascii="Arial" w:hAnsi="Arial" w:eastAsia="等线" w:cs="Arial"/>
          <w:sz w:val="22"/>
        </w:rPr>
        <w:t>乙方为清单设备提供全包式维保服务，涵盖故障维修、预防性维护保养、月度现场巡检、技术支持、设备调试等全部相关工作，具体内容如下：</w:t>
      </w:r>
    </w:p>
    <w:p>
      <w:pPr>
        <w:spacing w:before="120" w:after="120"/>
        <w:jc w:val="left"/>
      </w:pPr>
      <w:r>
        <w:rPr>
          <w:rFonts w:ascii="Arial" w:hAnsi="Arial" w:eastAsia="等线" w:cs="Arial"/>
          <w:sz w:val="22"/>
        </w:rPr>
        <w:t>（1）故障维修：接到甲方报修通知后，按照合同约定响应时限派员到场，完成设备故障排查、维修、调试工作，确保设备恢复正常运行状态；</w:t>
      </w:r>
    </w:p>
    <w:p>
      <w:pPr>
        <w:spacing w:before="120" w:after="120"/>
        <w:jc w:val="left"/>
      </w:pPr>
      <w:r>
        <w:rPr>
          <w:rFonts w:ascii="Arial" w:hAnsi="Arial" w:eastAsia="等线" w:cs="Arial"/>
          <w:sz w:val="22"/>
        </w:rPr>
        <w:t>（2）维护保养：每季度安排专业技术工程师开展现场巡查与预防性维护保养，包含设备整机检查、专项保养、操作技术指导等服务，保障设备长期处于最优运行工况。每次巡检及保养工作完成后须形成书面记录，经甲乙双方签字确认；</w:t>
      </w:r>
    </w:p>
    <w:p>
      <w:pPr>
        <w:spacing w:before="120" w:after="120"/>
        <w:jc w:val="left"/>
      </w:pPr>
      <w:r>
        <w:rPr>
          <w:rFonts w:ascii="Arial" w:hAnsi="Arial" w:eastAsia="等线" w:cs="Arial"/>
          <w:sz w:val="22"/>
        </w:rPr>
        <w:t>（3）全包服务范围：本合同维保费用为全包包干费用，包含服务全过程产生的工时费、差旅费、上门服务费、常规保养费用，</w:t>
      </w:r>
      <w:r>
        <w:rPr>
          <w:rFonts w:hint="eastAsia" w:ascii="Arial" w:hAnsi="Arial" w:eastAsia="等线" w:cs="Arial"/>
          <w:sz w:val="22"/>
        </w:rPr>
        <w:t>以及维修所需的全部零部件费（如电路板、电磁阀、步进马达等），维保服务中的维修应包含衬管、灯丝等消耗品（清单详见附件2）。</w:t>
      </w:r>
      <w:r>
        <w:rPr>
          <w:rFonts w:ascii="Arial" w:hAnsi="Arial" w:eastAsia="等线" w:cs="Arial"/>
          <w:sz w:val="22"/>
        </w:rPr>
        <w:t>乙方已综合考量全部服务成本，合同履行期间甲方无需另行支付任何维保相关费用。</w:t>
      </w:r>
    </w:p>
    <w:p>
      <w:pPr>
        <w:spacing w:before="300" w:after="120"/>
        <w:jc w:val="left"/>
        <w:outlineLvl w:val="2"/>
      </w:pPr>
      <w:r>
        <w:rPr>
          <w:rFonts w:ascii="Arial" w:hAnsi="Arial" w:eastAsia="等线" w:cs="Arial"/>
          <w:b/>
          <w:sz w:val="30"/>
        </w:rPr>
        <w:t>1.1.3 服务履约要求</w:t>
      </w:r>
    </w:p>
    <w:p>
      <w:pPr>
        <w:spacing w:before="120" w:after="120"/>
        <w:jc w:val="left"/>
      </w:pPr>
      <w:r>
        <w:rPr>
          <w:rFonts w:ascii="Arial" w:hAnsi="Arial" w:eastAsia="等线" w:cs="Arial"/>
          <w:sz w:val="22"/>
        </w:rPr>
        <w:t>乙方须整体承接附件清单内全部设备的维保工作，严禁对维保服务进行拆分、转包或违法分包。</w:t>
      </w:r>
    </w:p>
    <w:p>
      <w:pPr>
        <w:spacing w:before="380" w:after="140"/>
        <w:jc w:val="left"/>
        <w:outlineLvl w:val="0"/>
      </w:pPr>
      <w:r>
        <w:rPr>
          <w:rFonts w:ascii="Arial" w:hAnsi="Arial" w:eastAsia="等线" w:cs="Arial"/>
          <w:b/>
          <w:sz w:val="36"/>
        </w:rPr>
        <w:t>第二条 报价、限价与结算规则</w:t>
      </w:r>
    </w:p>
    <w:p>
      <w:pPr>
        <w:spacing w:before="320" w:after="120"/>
        <w:jc w:val="left"/>
        <w:outlineLvl w:val="1"/>
      </w:pPr>
      <w:r>
        <w:rPr>
          <w:rFonts w:ascii="Arial" w:hAnsi="Arial" w:eastAsia="等线" w:cs="Arial"/>
          <w:b/>
          <w:sz w:val="32"/>
        </w:rPr>
        <w:t>2.1 维保服务报价与结算</w:t>
      </w:r>
    </w:p>
    <w:p>
      <w:pPr>
        <w:spacing w:before="300" w:after="120"/>
        <w:jc w:val="left"/>
        <w:outlineLvl w:val="2"/>
      </w:pPr>
      <w:r>
        <w:rPr>
          <w:rFonts w:ascii="Arial" w:hAnsi="Arial" w:eastAsia="等线" w:cs="Arial"/>
          <w:b/>
          <w:sz w:val="30"/>
        </w:rPr>
        <w:t>2.1.1 维保服务最高限价</w:t>
      </w:r>
    </w:p>
    <w:p>
      <w:pPr>
        <w:spacing w:before="120" w:after="120"/>
        <w:jc w:val="left"/>
      </w:pPr>
      <w:r>
        <w:rPr>
          <w:rFonts w:ascii="Arial" w:hAnsi="Arial" w:eastAsia="等线" w:cs="Arial"/>
          <w:sz w:val="22"/>
        </w:rPr>
        <w:t>本项目维保服务最高限价总额为人民币</w:t>
      </w:r>
      <w:r>
        <w:rPr>
          <w:rFonts w:hint="eastAsia" w:ascii="Arial" w:hAnsi="Arial" w:eastAsia="等线" w:cs="Arial"/>
          <w:sz w:val="22"/>
        </w:rPr>
        <w:t>74</w:t>
      </w:r>
      <w:r>
        <w:rPr>
          <w:rFonts w:ascii="Arial" w:hAnsi="Arial" w:eastAsia="等线" w:cs="Arial"/>
          <w:sz w:val="22"/>
        </w:rPr>
        <w:t>0000元（大写：</w:t>
      </w:r>
      <w:r>
        <w:rPr>
          <w:rFonts w:hint="eastAsia" w:ascii="Arial" w:hAnsi="Arial" w:eastAsia="等线" w:cs="Arial"/>
          <w:sz w:val="22"/>
        </w:rPr>
        <w:t>柒拾肆</w:t>
      </w:r>
      <w:r>
        <w:rPr>
          <w:rFonts w:ascii="Arial" w:hAnsi="Arial" w:eastAsia="等线" w:cs="Arial"/>
          <w:sz w:val="22"/>
        </w:rPr>
        <w:t>万元整）。</w:t>
      </w:r>
    </w:p>
    <w:p>
      <w:pPr>
        <w:spacing w:before="300" w:after="120"/>
        <w:jc w:val="left"/>
        <w:outlineLvl w:val="2"/>
      </w:pPr>
      <w:r>
        <w:rPr>
          <w:rFonts w:ascii="Arial" w:hAnsi="Arial" w:eastAsia="等线" w:cs="Arial"/>
          <w:b/>
          <w:sz w:val="30"/>
        </w:rPr>
        <w:t>2.1.2 投标折扣</w:t>
      </w:r>
    </w:p>
    <w:p>
      <w:pPr>
        <w:spacing w:before="120" w:after="120"/>
        <w:jc w:val="left"/>
      </w:pPr>
      <w:r>
        <w:rPr>
          <w:rFonts w:ascii="Arial" w:hAnsi="Arial" w:eastAsia="等线" w:cs="Arial"/>
          <w:sz w:val="22"/>
        </w:rPr>
        <w:t>乙方投标维保服务折扣：______%。</w:t>
      </w:r>
    </w:p>
    <w:p>
      <w:pPr>
        <w:spacing w:before="300" w:after="120"/>
        <w:jc w:val="left"/>
        <w:outlineLvl w:val="2"/>
      </w:pPr>
      <w:r>
        <w:rPr>
          <w:rFonts w:ascii="Arial" w:hAnsi="Arial" w:eastAsia="等线" w:cs="Arial"/>
          <w:b/>
          <w:sz w:val="30"/>
        </w:rPr>
        <w:t>2.1.3 维保结算计算公式</w:t>
      </w:r>
    </w:p>
    <w:p>
      <w:pPr>
        <w:spacing w:before="120" w:after="120"/>
        <w:jc w:val="left"/>
      </w:pPr>
      <w:r>
        <w:rPr>
          <w:rFonts w:ascii="Arial" w:hAnsi="Arial" w:eastAsia="等线" w:cs="Arial"/>
          <w:sz w:val="22"/>
        </w:rPr>
        <w:t>维保结算总价＝</w:t>
      </w:r>
      <w:r>
        <w:rPr>
          <w:rFonts w:hint="eastAsia" w:ascii="Arial" w:hAnsi="Arial" w:eastAsia="等线" w:cs="Arial"/>
          <w:sz w:val="22"/>
        </w:rPr>
        <w:t>74</w:t>
      </w:r>
      <w:r>
        <w:rPr>
          <w:rFonts w:ascii="Arial" w:hAnsi="Arial" w:eastAsia="等线" w:cs="Arial"/>
          <w:sz w:val="22"/>
        </w:rPr>
        <w:t>0000元×维保服务折扣</w:t>
      </w:r>
    </w:p>
    <w:p>
      <w:pPr>
        <w:spacing w:before="300" w:after="120"/>
        <w:jc w:val="left"/>
        <w:outlineLvl w:val="2"/>
      </w:pPr>
      <w:r>
        <w:rPr>
          <w:rFonts w:ascii="Arial" w:hAnsi="Arial" w:eastAsia="等线" w:cs="Arial"/>
          <w:b/>
          <w:sz w:val="30"/>
        </w:rPr>
        <w:t>2.1.4 结算依据</w:t>
      </w:r>
    </w:p>
    <w:p>
      <w:pPr>
        <w:spacing w:before="120" w:after="120"/>
        <w:jc w:val="left"/>
      </w:pPr>
      <w:r>
        <w:rPr>
          <w:rFonts w:ascii="Arial" w:hAnsi="Arial" w:eastAsia="等线" w:cs="Arial"/>
          <w:sz w:val="22"/>
        </w:rPr>
        <w:t>乙方投标文件中列明的单台设备维保费用明细为本合同有效附件，与本合同具有同等法律效力。</w:t>
      </w:r>
    </w:p>
    <w:p>
      <w:pPr>
        <w:spacing w:before="320" w:after="120"/>
        <w:jc w:val="left"/>
        <w:outlineLvl w:val="1"/>
      </w:pPr>
      <w:r>
        <w:rPr>
          <w:rFonts w:ascii="Arial" w:hAnsi="Arial" w:eastAsia="等线" w:cs="Arial"/>
          <w:b/>
          <w:sz w:val="32"/>
        </w:rPr>
        <w:t>2.</w:t>
      </w:r>
      <w:r>
        <w:rPr>
          <w:rFonts w:hint="eastAsia" w:ascii="Arial" w:hAnsi="Arial" w:eastAsia="等线" w:cs="Arial"/>
          <w:b/>
          <w:sz w:val="32"/>
        </w:rPr>
        <w:t>2</w:t>
      </w:r>
      <w:r>
        <w:rPr>
          <w:rFonts w:ascii="Arial" w:hAnsi="Arial" w:eastAsia="等线" w:cs="Arial"/>
          <w:b/>
          <w:sz w:val="32"/>
        </w:rPr>
        <w:t xml:space="preserve"> 总体结算与付款</w:t>
      </w:r>
    </w:p>
    <w:p>
      <w:pPr>
        <w:spacing w:before="300" w:after="120"/>
        <w:jc w:val="left"/>
        <w:outlineLvl w:val="2"/>
      </w:pPr>
      <w:r>
        <w:rPr>
          <w:rFonts w:ascii="Arial" w:hAnsi="Arial" w:eastAsia="等线" w:cs="Arial"/>
          <w:b/>
          <w:sz w:val="30"/>
        </w:rPr>
        <w:t>2.3.1 合同总价构成</w:t>
      </w:r>
    </w:p>
    <w:p>
      <w:pPr>
        <w:spacing w:before="120" w:after="120"/>
        <w:jc w:val="left"/>
      </w:pPr>
      <w:r>
        <w:rPr>
          <w:rFonts w:ascii="Arial" w:hAnsi="Arial" w:eastAsia="等线" w:cs="Arial"/>
          <w:sz w:val="22"/>
        </w:rPr>
        <w:t>本合同最终总费用由维保结算总价。</w:t>
      </w:r>
    </w:p>
    <w:p>
      <w:pPr>
        <w:spacing w:before="300" w:after="120"/>
        <w:jc w:val="left"/>
        <w:outlineLvl w:val="2"/>
      </w:pPr>
      <w:r>
        <w:rPr>
          <w:rFonts w:ascii="Arial" w:hAnsi="Arial" w:eastAsia="等线" w:cs="Arial"/>
          <w:b/>
          <w:sz w:val="30"/>
        </w:rPr>
        <w:t>2.3.2 季度结算方式</w:t>
      </w:r>
    </w:p>
    <w:p>
      <w:pPr>
        <w:spacing w:before="120" w:after="120"/>
        <w:jc w:val="left"/>
      </w:pPr>
      <w:r>
        <w:rPr>
          <w:rFonts w:ascii="Arial" w:hAnsi="Arial" w:eastAsia="等线" w:cs="Arial"/>
          <w:sz w:val="22"/>
        </w:rPr>
        <w:t>本合同采用按进度每季度结算方式，按年度维保结算总价的25%实行固定比例季度结算。乙方每季度向甲方提交季度服务记录、费用明细及合法有效的增值税专用发票，经甲方审核无误后，</w:t>
      </w:r>
      <w:r>
        <w:rPr>
          <w:rFonts w:hint="eastAsia" w:ascii="Arial" w:hAnsi="Arial" w:eastAsia="等线" w:cs="Arial"/>
          <w:sz w:val="22"/>
        </w:rPr>
        <w:t>由甲方向其财务部门发起支付中请，最终付款时间以财政拨款进度为准。乙方对此予以理解，并承诺不就此向甲方主张任何逾期付款利息或违约责任。</w:t>
      </w:r>
    </w:p>
    <w:p>
      <w:pPr>
        <w:spacing w:before="300" w:after="120"/>
        <w:jc w:val="left"/>
        <w:outlineLvl w:val="2"/>
      </w:pPr>
      <w:r>
        <w:rPr>
          <w:rFonts w:ascii="Arial" w:hAnsi="Arial" w:eastAsia="等线" w:cs="Arial"/>
          <w:b/>
          <w:sz w:val="30"/>
        </w:rPr>
        <w:t>2.3.3 付款账户管理</w:t>
      </w:r>
    </w:p>
    <w:p>
      <w:pPr>
        <w:spacing w:before="120" w:after="120"/>
        <w:jc w:val="left"/>
      </w:pPr>
      <w:r>
        <w:rPr>
          <w:rFonts w:ascii="Arial" w:hAnsi="Arial" w:eastAsia="等线" w:cs="Arial"/>
          <w:sz w:val="22"/>
        </w:rPr>
        <w:t>乙方须在首次结算前以书面形式向甲方提供完整、准确的付款账户信息。因乙方账户信息填报错误、更新不及时等自身原因造成付款延误的，全部责任由乙方自行承担。</w:t>
      </w:r>
    </w:p>
    <w:p>
      <w:pPr>
        <w:spacing w:before="380" w:after="140"/>
        <w:jc w:val="left"/>
        <w:outlineLvl w:val="0"/>
      </w:pPr>
      <w:r>
        <w:rPr>
          <w:rFonts w:ascii="Arial" w:hAnsi="Arial" w:eastAsia="等线" w:cs="Arial"/>
          <w:b/>
          <w:sz w:val="36"/>
        </w:rPr>
        <w:t>第三条 服务要求</w:t>
      </w:r>
    </w:p>
    <w:p>
      <w:pPr>
        <w:spacing w:before="320" w:after="120"/>
        <w:jc w:val="left"/>
        <w:outlineLvl w:val="1"/>
      </w:pPr>
      <w:r>
        <w:rPr>
          <w:rFonts w:ascii="Arial" w:hAnsi="Arial" w:eastAsia="等线" w:cs="Arial"/>
          <w:b/>
          <w:sz w:val="32"/>
        </w:rPr>
        <w:t>3.1 故障响应要求</w:t>
      </w:r>
    </w:p>
    <w:p>
      <w:pPr>
        <w:spacing w:before="120" w:after="120"/>
        <w:jc w:val="left"/>
      </w:pPr>
      <w:r>
        <w:rPr>
          <w:rFonts w:ascii="Arial" w:hAnsi="Arial" w:eastAsia="等线" w:cs="Arial"/>
          <w:sz w:val="22"/>
        </w:rPr>
        <w:t>乙方设立专属服务热线，服务时间为每周一至周日8:00-17:30（法定节假日除外），全程接受甲方报修及技术咨询。甲方通过电话、工作群等渠道报修的，乙方须在30分钟内完成电话或微信响应，24小时内查明全部故障原因并出具正式解决方案。非硬件故障须在48小时内完成修复；硬件故障须在5个自然日内排除故障并完成维修，保障设备正常投用，紧急故障优先加急处置。</w:t>
      </w:r>
    </w:p>
    <w:p>
      <w:pPr>
        <w:spacing w:before="320" w:after="120"/>
        <w:jc w:val="left"/>
        <w:outlineLvl w:val="1"/>
      </w:pPr>
      <w:r>
        <w:rPr>
          <w:rFonts w:ascii="Arial" w:hAnsi="Arial" w:eastAsia="等线" w:cs="Arial"/>
          <w:b/>
          <w:sz w:val="32"/>
        </w:rPr>
        <w:t>3.2 维保服务方案</w:t>
      </w:r>
    </w:p>
    <w:p>
      <w:pPr>
        <w:spacing w:before="300" w:after="120"/>
        <w:jc w:val="left"/>
        <w:outlineLvl w:val="2"/>
      </w:pPr>
      <w:r>
        <w:rPr>
          <w:rFonts w:ascii="Arial" w:hAnsi="Arial" w:eastAsia="等线" w:cs="Arial"/>
          <w:b/>
          <w:sz w:val="30"/>
        </w:rPr>
        <w:t>3.2.1 巡检频次与时长</w:t>
      </w:r>
    </w:p>
    <w:p>
      <w:pPr>
        <w:spacing w:before="120" w:after="120"/>
        <w:jc w:val="left"/>
      </w:pPr>
      <w:r>
        <w:rPr>
          <w:rFonts w:ascii="Arial" w:hAnsi="Arial" w:eastAsia="等线" w:cs="Arial"/>
          <w:sz w:val="22"/>
        </w:rPr>
        <w:t>乙方每自然季度开展1次现场全面巡检及预防性保养，全年累计不少于4次。单次现场服务时长标准：单台精密仪器维保作业时长不少于2小时，成套联用设备维保作业时长不少于4小时。巡检须全覆盖对应采购包维保清单内全部设备，覆盖率100%，缺检、漏检均视为服务不合格。</w:t>
      </w:r>
    </w:p>
    <w:p>
      <w:pPr>
        <w:spacing w:before="300" w:after="120"/>
        <w:jc w:val="left"/>
        <w:outlineLvl w:val="2"/>
      </w:pPr>
      <w:r>
        <w:rPr>
          <w:rFonts w:ascii="Arial" w:hAnsi="Arial" w:eastAsia="等线" w:cs="Arial"/>
          <w:b/>
          <w:sz w:val="30"/>
        </w:rPr>
        <w:t>3.2.2 维保作业内容</w:t>
      </w:r>
    </w:p>
    <w:p>
      <w:pPr>
        <w:spacing w:before="120" w:after="120"/>
        <w:jc w:val="left"/>
      </w:pPr>
      <w:r>
        <w:rPr>
          <w:rFonts w:ascii="Arial" w:hAnsi="Arial" w:eastAsia="等线" w:cs="Arial"/>
          <w:sz w:val="22"/>
        </w:rPr>
        <w:t>乙方须提供招标文件约定的全部原厂消耗品、零部件、上门工时、差旅等全包服务，履约期间不得另行收取任何费用。单次维保作业须完成设备清洁、管路检查、电路检测、性能校准、参数复核五项基础工作，所有作业内容须完整记录留存。</w:t>
      </w:r>
    </w:p>
    <w:p>
      <w:pPr>
        <w:spacing w:before="300" w:after="120"/>
        <w:jc w:val="left"/>
        <w:outlineLvl w:val="2"/>
      </w:pPr>
      <w:r>
        <w:rPr>
          <w:rFonts w:ascii="Arial" w:hAnsi="Arial" w:eastAsia="等线" w:cs="Arial"/>
          <w:b/>
          <w:sz w:val="30"/>
        </w:rPr>
        <w:t>3.2.3 维保记录与报告要求</w:t>
      </w:r>
    </w:p>
    <w:p>
      <w:pPr>
        <w:spacing w:before="120" w:after="120"/>
        <w:jc w:val="left"/>
      </w:pPr>
      <w:r>
        <w:rPr>
          <w:rFonts w:ascii="Arial" w:hAnsi="Arial" w:eastAsia="等线" w:cs="Arial"/>
          <w:sz w:val="22"/>
        </w:rPr>
        <w:t>每次巡检、保养工作完成后24小时内，乙方须同步提交纸质版及电子版《季度维保记录表》，表格须完整载明设备编号、序列号、运行参数、故障隐患、保养内容、耗材更换明细等信息，设置双方签字确认栏。记录内容完整率须达100%，无签字、内容空缺记录视为无效记录。合同期满后，乙方须提交年度维保总结报告，内容包含全年设备运行数据、故障统计、维保台账、运维优化建议等，报告总页数不少于15页，数据图表占比不低于40%。</w:t>
      </w:r>
    </w:p>
    <w:p>
      <w:pPr>
        <w:spacing w:before="300" w:after="120"/>
        <w:jc w:val="left"/>
        <w:outlineLvl w:val="2"/>
      </w:pPr>
      <w:r>
        <w:rPr>
          <w:rFonts w:ascii="Arial" w:hAnsi="Arial" w:eastAsia="等线" w:cs="Arial"/>
          <w:b/>
          <w:sz w:val="30"/>
        </w:rPr>
        <w:t>3.2.4 设备性能标准</w:t>
      </w:r>
    </w:p>
    <w:p>
      <w:pPr>
        <w:spacing w:before="120" w:after="120"/>
        <w:jc w:val="left"/>
      </w:pPr>
      <w:r>
        <w:rPr>
          <w:rFonts w:ascii="Arial" w:hAnsi="Arial" w:eastAsia="等线" w:cs="Arial"/>
          <w:sz w:val="22"/>
        </w:rPr>
        <w:t>维保完成后，设备关键技术参数偏差须控制在仪器出厂标准允许误差范围内；精密分析仪器基线稳定性、灵敏度、重复性等核心指标须满足海关检测实验室使用标准，现场抽检合格率100%。</w:t>
      </w:r>
    </w:p>
    <w:p>
      <w:pPr>
        <w:spacing w:before="300" w:after="120"/>
        <w:jc w:val="left"/>
        <w:outlineLvl w:val="2"/>
      </w:pPr>
      <w:r>
        <w:rPr>
          <w:rFonts w:ascii="Arial" w:hAnsi="Arial" w:eastAsia="等线" w:cs="Arial"/>
          <w:b/>
          <w:sz w:val="30"/>
        </w:rPr>
        <w:t>3.2.5 辅助配套服务</w:t>
      </w:r>
    </w:p>
    <w:p>
      <w:pPr>
        <w:spacing w:before="120" w:after="120"/>
        <w:jc w:val="left"/>
      </w:pPr>
      <w:r>
        <w:rPr>
          <w:rFonts w:ascii="Arial" w:hAnsi="Arial" w:eastAsia="等线" w:cs="Arial"/>
          <w:sz w:val="22"/>
        </w:rPr>
        <w:t>乙方须配合甲方完成仪器搬迁、移位相关技术工作，在仪器搬迁前后各开展1次免费整机状态检测，出具正式《仪器搬迁状态确认单》，确保仪器搬迁后一次性恢复正常运行。</w:t>
      </w:r>
    </w:p>
    <w:p>
      <w:pPr>
        <w:spacing w:before="320" w:after="120"/>
        <w:jc w:val="left"/>
        <w:outlineLvl w:val="1"/>
      </w:pPr>
      <w:r>
        <w:rPr>
          <w:rFonts w:ascii="Arial" w:hAnsi="Arial" w:eastAsia="等线" w:cs="Arial"/>
          <w:b/>
          <w:sz w:val="32"/>
        </w:rPr>
        <w:t>3.4 团队管理服务方案</w:t>
      </w:r>
    </w:p>
    <w:p>
      <w:pPr>
        <w:spacing w:before="300" w:after="120"/>
        <w:jc w:val="left"/>
        <w:outlineLvl w:val="2"/>
      </w:pPr>
      <w:r>
        <w:rPr>
          <w:rFonts w:ascii="Arial" w:hAnsi="Arial" w:eastAsia="等线" w:cs="Arial"/>
          <w:b/>
          <w:sz w:val="30"/>
        </w:rPr>
        <w:t>3.4.1 人员配置与定岗要求</w:t>
      </w:r>
    </w:p>
    <w:p>
      <w:pPr>
        <w:spacing w:before="120" w:after="120"/>
        <w:jc w:val="left"/>
      </w:pPr>
      <w:r>
        <w:rPr>
          <w:rFonts w:ascii="Arial" w:hAnsi="Arial" w:eastAsia="等线" w:cs="Arial"/>
          <w:sz w:val="22"/>
        </w:rPr>
        <w:t>乙方按采购包配置专属服务团队，实行一人一岗、专人专包管理模式，严禁跨包兼职顶岗。须配备不少于2名专职工程师，要求具备机械、电气、仪器仪表类相关专业中级及以上职称，拥有3年及以上色谱、质谱、光谱类精密分析仪器维修工作经验。各采购包单独设置1名项目经理，要求具备8年及以上同类精密仪器维修工作经验、机械/电气/仪器仪表类高级及以上职称、本科及以上学历，全面统筹人员调度、服务进度、投诉对接、质量管控等工作，项目经理不得兼任一线维修工程师。</w:t>
      </w:r>
    </w:p>
    <w:p>
      <w:pPr>
        <w:spacing w:before="300" w:after="120"/>
        <w:jc w:val="left"/>
        <w:outlineLvl w:val="2"/>
      </w:pPr>
      <w:r>
        <w:rPr>
          <w:rFonts w:ascii="Arial" w:hAnsi="Arial" w:eastAsia="等线" w:cs="Arial"/>
          <w:b/>
          <w:sz w:val="30"/>
        </w:rPr>
        <w:t>3.4.2 人员资质与在岗管理</w:t>
      </w:r>
    </w:p>
    <w:p>
      <w:pPr>
        <w:spacing w:before="300" w:after="120"/>
        <w:jc w:val="left"/>
        <w:outlineLvl w:val="2"/>
      </w:pPr>
      <w:r>
        <w:rPr>
          <w:rFonts w:ascii="Arial" w:hAnsi="Arial" w:eastAsia="等线" w:cs="Arial"/>
          <w:b/>
          <w:sz w:val="30"/>
        </w:rPr>
        <w:t>3.4.2 人员资质与在岗管理</w:t>
      </w:r>
    </w:p>
    <w:p>
      <w:pPr>
        <w:spacing w:before="120" w:after="120"/>
        <w:jc w:val="left"/>
      </w:pPr>
      <w:r>
        <w:rPr>
          <w:rFonts w:ascii="Arial" w:hAnsi="Arial" w:eastAsia="等线" w:cs="Arial"/>
          <w:sz w:val="22"/>
        </w:rPr>
        <w:t>所有驻场、外勤工程师须持有对应品牌仪器原厂有效培训证书，服务期内证书覆盖率100%。服务团队人员稳定，核心工程师服务期内离职率≤10%，人员变动须提前7个工作日向甲方提交书面告知，并完整完成工作交接，交接记录归档留存。所有在岗人员须依法正常缴纳社保，甲方可随机抽查近6个月社保缴纳凭证，抽查合格率100%。</w:t>
      </w:r>
    </w:p>
    <w:p>
      <w:pPr>
        <w:spacing w:before="320" w:after="120"/>
        <w:jc w:val="left"/>
        <w:outlineLvl w:val="1"/>
      </w:pPr>
      <w:r>
        <w:rPr>
          <w:rFonts w:ascii="Arial" w:hAnsi="Arial" w:eastAsia="等线" w:cs="Arial"/>
          <w:b/>
          <w:sz w:val="32"/>
        </w:rPr>
        <w:t>3.5 服务响应方案</w:t>
      </w:r>
    </w:p>
    <w:p>
      <w:pPr>
        <w:spacing w:before="300" w:after="120"/>
        <w:jc w:val="left"/>
        <w:outlineLvl w:val="2"/>
      </w:pPr>
      <w:r>
        <w:rPr>
          <w:rFonts w:ascii="Arial" w:hAnsi="Arial" w:eastAsia="等线" w:cs="Arial"/>
          <w:b/>
          <w:sz w:val="30"/>
        </w:rPr>
        <w:t>3.5.1 服务热线值守</w:t>
      </w:r>
    </w:p>
    <w:p>
      <w:pPr>
        <w:spacing w:before="120" w:after="120"/>
        <w:jc w:val="left"/>
      </w:pPr>
      <w:r>
        <w:rPr>
          <w:rFonts w:ascii="Arial" w:hAnsi="Arial" w:eastAsia="等线" w:cs="Arial"/>
          <w:sz w:val="22"/>
        </w:rPr>
        <w:t>乙方开通固定座机及微信工作群双渠道服务通道，服务时间为每周7天8:00-17:30（法定节假日除外），热线接通率≥98%，工作群咨询消息10分钟内响应回复。实行专人值守制度，每月1日前向甲方提交月度值守排班表，公示率100%。法定节假日预留1名值班工程师，保障应急热线畅通及故障初步研判。</w:t>
      </w:r>
    </w:p>
    <w:p>
      <w:pPr>
        <w:spacing w:before="300" w:after="120"/>
        <w:jc w:val="left"/>
        <w:outlineLvl w:val="2"/>
      </w:pPr>
      <w:r>
        <w:rPr>
          <w:rFonts w:ascii="Arial" w:hAnsi="Arial" w:eastAsia="等线" w:cs="Arial"/>
          <w:b/>
          <w:sz w:val="30"/>
        </w:rPr>
        <w:t>3.5.2 分级响应时效标准</w:t>
      </w:r>
    </w:p>
    <w:p>
      <w:pPr>
        <w:spacing w:before="120" w:after="120"/>
        <w:jc w:val="left"/>
      </w:pPr>
      <w:r>
        <w:rPr>
          <w:rFonts w:ascii="Arial" w:hAnsi="Arial" w:eastAsia="等线" w:cs="Arial"/>
          <w:sz w:val="22"/>
        </w:rPr>
        <w:t>电话响应：接到报修或咨询后30分钟内完成应答、故障沟通及工单登记，超时视为响应失效；故障研判：接报后24小时内查明全部故障原因，出具书面解决方案及预估修复时长；非硬件故障：48小时内完成全部修复调试；硬件故障：72小时内携带备用备件抵达现场开展维修；终极修复时限：所有设备故障须在5个自然日内完成修复并恢复正常使用。多台设备同时报修的，按甲方实验室检测工作优先级有序响应，优先级方案提前报备甲方。</w:t>
      </w:r>
    </w:p>
    <w:p>
      <w:pPr>
        <w:spacing w:before="300" w:after="120"/>
        <w:jc w:val="left"/>
        <w:outlineLvl w:val="2"/>
      </w:pPr>
      <w:r>
        <w:rPr>
          <w:rFonts w:ascii="Arial" w:hAnsi="Arial" w:eastAsia="等线" w:cs="Arial"/>
          <w:b/>
          <w:sz w:val="30"/>
        </w:rPr>
        <w:t>3.5.3 工单闭环管理</w:t>
      </w:r>
    </w:p>
    <w:p>
      <w:pPr>
        <w:spacing w:before="120" w:after="120"/>
        <w:jc w:val="left"/>
      </w:pPr>
      <w:r>
        <w:rPr>
          <w:rFonts w:ascii="Arial" w:hAnsi="Arial" w:eastAsia="等线" w:cs="Arial"/>
          <w:sz w:val="22"/>
        </w:rPr>
        <w:t>所有报修业务生成唯一工单号，工单流转涵盖报修登记、工程师派单、现场服务、验收归档全流程，各节点进度实时同步甲方，工单闭环率100%。</w:t>
      </w:r>
    </w:p>
    <w:p>
      <w:pPr>
        <w:spacing w:before="300" w:after="120"/>
        <w:jc w:val="left"/>
        <w:outlineLvl w:val="2"/>
      </w:pPr>
      <w:r>
        <w:rPr>
          <w:rFonts w:ascii="Arial" w:hAnsi="Arial" w:eastAsia="等线" w:cs="Arial"/>
          <w:b/>
          <w:sz w:val="30"/>
        </w:rPr>
        <w:t>3.5.4 进度沟通反馈</w:t>
      </w:r>
    </w:p>
    <w:p>
      <w:pPr>
        <w:spacing w:before="120" w:after="120"/>
        <w:jc w:val="left"/>
      </w:pPr>
      <w:r>
        <w:rPr>
          <w:rFonts w:ascii="Arial" w:hAnsi="Arial" w:eastAsia="等线" w:cs="Arial"/>
          <w:sz w:val="22"/>
        </w:rPr>
        <w:t>处置复杂故障时，乙方须每12小时向甲方同步一次维修进度、处置情况，直至故障完全修复，未按时反馈视为服务响应不达标。</w:t>
      </w:r>
    </w:p>
    <w:p>
      <w:pPr>
        <w:spacing w:before="320" w:after="120"/>
        <w:jc w:val="left"/>
        <w:outlineLvl w:val="1"/>
      </w:pPr>
      <w:r>
        <w:rPr>
          <w:rFonts w:ascii="Arial" w:hAnsi="Arial" w:eastAsia="等线" w:cs="Arial"/>
          <w:b/>
          <w:sz w:val="32"/>
        </w:rPr>
        <w:t>3.6 应急服务方案</w:t>
      </w:r>
    </w:p>
    <w:p>
      <w:pPr>
        <w:spacing w:before="300" w:after="120"/>
        <w:jc w:val="left"/>
        <w:outlineLvl w:val="2"/>
      </w:pPr>
      <w:r>
        <w:rPr>
          <w:rFonts w:ascii="Arial" w:hAnsi="Arial" w:eastAsia="等线" w:cs="Arial"/>
          <w:b/>
          <w:sz w:val="30"/>
        </w:rPr>
        <w:t>3.6.1 应急场景界定</w:t>
      </w:r>
    </w:p>
    <w:p>
      <w:pPr>
        <w:spacing w:before="120" w:after="120"/>
        <w:jc w:val="left"/>
      </w:pPr>
      <w:r>
        <w:rPr>
          <w:rFonts w:ascii="Arial" w:hAnsi="Arial" w:eastAsia="等线" w:cs="Arial"/>
          <w:sz w:val="22"/>
        </w:rPr>
        <w:t>出现以下任一情形，自动启动应急抢修机制：单台核心检测仪器故障，影响实验室常态化检测工作；同一区域两台及以上设备同时故障；设备主机、质谱核心模块、电路主板等关键核心部件故障；甲方存在紧急检测任务且设备突发故障。</w:t>
      </w:r>
    </w:p>
    <w:p>
      <w:pPr>
        <w:spacing w:before="300" w:after="120"/>
        <w:jc w:val="left"/>
        <w:outlineLvl w:val="2"/>
      </w:pPr>
      <w:r>
        <w:rPr>
          <w:rFonts w:ascii="Arial" w:hAnsi="Arial" w:eastAsia="等线" w:cs="Arial"/>
          <w:b/>
          <w:sz w:val="30"/>
        </w:rPr>
        <w:t>3.6.2 应急人员与物资保障</w:t>
      </w:r>
    </w:p>
    <w:p>
      <w:pPr>
        <w:spacing w:before="120" w:after="120"/>
        <w:jc w:val="left"/>
      </w:pPr>
      <w:r>
        <w:rPr>
          <w:rFonts w:ascii="Arial" w:hAnsi="Arial" w:eastAsia="等线" w:cs="Arial"/>
          <w:sz w:val="22"/>
        </w:rPr>
        <w:t>乙方设立专项应急抢修小组，每组配备不少于2名资深工程师，实行全年24小时备勤制度（含工作日及节假日），备勤人员名单及联系方式每月更新并报备甲方。建立项目专属应急备件库，储备灯丝、衬管、密封圈、泵油、探头等高频易损配件，备件库存覆盖率≥90%，每月开展一次库存盘点，盘点记录完整归档。</w:t>
      </w:r>
    </w:p>
    <w:p>
      <w:pPr>
        <w:spacing w:before="300" w:after="120"/>
        <w:jc w:val="left"/>
        <w:outlineLvl w:val="2"/>
      </w:pPr>
      <w:r>
        <w:rPr>
          <w:rFonts w:ascii="Arial" w:hAnsi="Arial" w:eastAsia="等线" w:cs="Arial"/>
          <w:b/>
          <w:sz w:val="30"/>
        </w:rPr>
        <w:t>3.6.3 应急响应时效</w:t>
      </w:r>
    </w:p>
    <w:p>
      <w:pPr>
        <w:spacing w:before="120" w:after="120"/>
        <w:jc w:val="left"/>
      </w:pPr>
      <w:r>
        <w:rPr>
          <w:rFonts w:ascii="Arial" w:hAnsi="Arial" w:eastAsia="等线" w:cs="Arial"/>
          <w:sz w:val="22"/>
        </w:rPr>
        <w:t>应急机制触发后，乙方15分钟内安排专人对接处置，4小时内工程师抵达现场开展抢修；遇重大硬件故障，同步协调原厂技术远程支持，远程技术接入时长不超过2小时。</w:t>
      </w:r>
    </w:p>
    <w:p>
      <w:pPr>
        <w:spacing w:before="300" w:after="120"/>
        <w:jc w:val="left"/>
        <w:outlineLvl w:val="2"/>
      </w:pPr>
      <w:r>
        <w:rPr>
          <w:rFonts w:ascii="Arial" w:hAnsi="Arial" w:eastAsia="等线" w:cs="Arial"/>
          <w:b/>
          <w:sz w:val="30"/>
        </w:rPr>
        <w:t>3.6.4 应急处置流程</w:t>
      </w:r>
    </w:p>
    <w:p>
      <w:pPr>
        <w:spacing w:before="120" w:after="120"/>
        <w:jc w:val="left"/>
      </w:pPr>
      <w:r>
        <w:rPr>
          <w:rFonts w:ascii="Arial" w:hAnsi="Arial" w:eastAsia="等线" w:cs="Arial"/>
          <w:sz w:val="22"/>
        </w:rPr>
        <w:t>工程师抵达现场后10分钟内向甲方现场负责人报备应急处置方案，优先修复设备核心检测功能，保障甲方临时检测工作开展。应急处置完成后24小时内提交《突发故障应急处置报告》，明确故障诱因、处置过程、整改措施。若设备短期内无法完成修复，乙方须配合甲方完成检测任务分流、仪器调配技术指导，提供全程临时技术支撑。</w:t>
      </w:r>
    </w:p>
    <w:p>
      <w:pPr>
        <w:spacing w:before="320" w:after="120"/>
        <w:jc w:val="left"/>
        <w:outlineLvl w:val="1"/>
      </w:pPr>
      <w:r>
        <w:rPr>
          <w:rFonts w:ascii="Arial" w:hAnsi="Arial" w:eastAsia="等线" w:cs="Arial"/>
          <w:b/>
          <w:sz w:val="32"/>
        </w:rPr>
        <w:t>3.7 质量保证措施</w:t>
      </w:r>
    </w:p>
    <w:p>
      <w:pPr>
        <w:spacing w:before="300" w:after="120"/>
        <w:jc w:val="left"/>
        <w:outlineLvl w:val="2"/>
      </w:pPr>
      <w:r>
        <w:rPr>
          <w:rFonts w:ascii="Arial" w:hAnsi="Arial" w:eastAsia="等线" w:cs="Arial"/>
          <w:b/>
          <w:sz w:val="30"/>
        </w:rPr>
        <w:t>3.7.1 服务质量溯源管理</w:t>
      </w:r>
    </w:p>
    <w:p>
      <w:pPr>
        <w:spacing w:before="120" w:after="120"/>
        <w:jc w:val="left"/>
      </w:pPr>
      <w:r>
        <w:rPr>
          <w:rFonts w:ascii="Arial" w:hAnsi="Arial" w:eastAsia="等线" w:cs="Arial"/>
          <w:sz w:val="22"/>
        </w:rPr>
        <w:t>乙方对所有维保、维修、应急服务资料实行分类归档管理，电子档案留存期限不少于3年，纸质档案留存期限不少于2年，甲方可随时调阅，调阅响应时长不超过2小时。建立单台设备终身服务台账，设备历次维保、维修记录一一关联，台账完整率100%。</w:t>
      </w:r>
    </w:p>
    <w:p>
      <w:pPr>
        <w:spacing w:before="300" w:after="120"/>
        <w:jc w:val="left"/>
        <w:outlineLvl w:val="2"/>
      </w:pPr>
      <w:r>
        <w:rPr>
          <w:rFonts w:ascii="Arial" w:hAnsi="Arial" w:eastAsia="等线" w:cs="Arial"/>
          <w:b/>
          <w:sz w:val="30"/>
        </w:rPr>
        <w:t>3.7.2 投诉处理机制</w:t>
      </w:r>
    </w:p>
    <w:p>
      <w:pPr>
        <w:spacing w:before="120" w:after="120"/>
        <w:jc w:val="left"/>
      </w:pPr>
      <w:r>
        <w:rPr>
          <w:rFonts w:ascii="Arial" w:hAnsi="Arial" w:eastAsia="等线" w:cs="Arial"/>
          <w:sz w:val="22"/>
        </w:rPr>
        <w:t>乙方设立专属投诉对接人员，开通电话、工作群、书面函件多渠道投诉通道。接到投诉后2小时内完成受理登记，24小时内现场核查并出具整改方案，3个工作日内完成整改并回访确认。服务期内有效投诉发生率≤2起，投诉整改完成率100%，客户回访满意度100%。</w:t>
      </w:r>
    </w:p>
    <w:p>
      <w:pPr>
        <w:spacing w:before="300" w:after="120"/>
        <w:jc w:val="left"/>
        <w:outlineLvl w:val="2"/>
      </w:pPr>
      <w:r>
        <w:rPr>
          <w:rFonts w:ascii="Arial" w:hAnsi="Arial" w:eastAsia="等线" w:cs="Arial"/>
          <w:b/>
          <w:sz w:val="30"/>
        </w:rPr>
        <w:t>3.7.3 配件耗材质量管控</w:t>
      </w:r>
    </w:p>
    <w:p>
      <w:pPr>
        <w:spacing w:before="120" w:after="120"/>
        <w:jc w:val="left"/>
      </w:pPr>
      <w:r>
        <w:rPr>
          <w:rFonts w:ascii="Arial" w:hAnsi="Arial" w:eastAsia="等线" w:cs="Arial"/>
          <w:sz w:val="22"/>
        </w:rPr>
        <w:t>乙方建立配件进货查验制度，每批次入库配件须留存供应商资质、出厂合格证、产品溯源码，查验记录与配件资料同步归档，严禁不合格配件流入施工现场。严禁使用过期、翻新、三无耗材配件，每月开展一次耗材配件自查工作，形成自查报告提交甲方备案。</w:t>
      </w:r>
    </w:p>
    <w:p>
      <w:pPr>
        <w:spacing w:before="300" w:after="120"/>
        <w:jc w:val="left"/>
        <w:outlineLvl w:val="2"/>
      </w:pPr>
      <w:r>
        <w:rPr>
          <w:rFonts w:ascii="Arial" w:hAnsi="Arial" w:eastAsia="等线" w:cs="Arial"/>
          <w:b/>
          <w:sz w:val="30"/>
        </w:rPr>
        <w:t>3.7.4 履约合规管控</w:t>
      </w:r>
    </w:p>
    <w:p>
      <w:pPr>
        <w:spacing w:before="120" w:after="120"/>
        <w:jc w:val="left"/>
      </w:pPr>
      <w:r>
        <w:rPr>
          <w:rFonts w:ascii="Arial" w:hAnsi="Arial" w:eastAsia="等线" w:cs="Arial"/>
          <w:sz w:val="22"/>
        </w:rPr>
        <w:t>乙方严格遵守合同约定，全程自行完成服务履约，严禁转包、分包，一经查实存在转包分包行为，按违约处理。严格执行投标折扣及项目限价要求，每月配合甲方完成费用对账工作，对账误差率为0%。每年年底开展年度服务质量复盘，编制《年度质量分析报告》，汇总全年故障统计、质量问题、整改落实情况及优化方案，针对高频故障提出专项运维优化建议。因乙方工程师操作不当、使用劣质配件造成设备二次损坏的，由乙方免费修复并承担全部经济损失，同时向甲方出具书面整改承诺。</w:t>
      </w:r>
    </w:p>
    <w:p>
      <w:pPr>
        <w:spacing w:before="380" w:after="140"/>
        <w:jc w:val="left"/>
        <w:outlineLvl w:val="0"/>
      </w:pPr>
      <w:r>
        <w:rPr>
          <w:rFonts w:ascii="Arial" w:hAnsi="Arial" w:eastAsia="等线" w:cs="Arial"/>
          <w:b/>
          <w:sz w:val="36"/>
        </w:rPr>
        <w:t>第四条 验收标准</w:t>
      </w:r>
    </w:p>
    <w:p>
      <w:pPr>
        <w:spacing w:before="320" w:after="120"/>
        <w:jc w:val="left"/>
        <w:outlineLvl w:val="1"/>
      </w:pPr>
      <w:r>
        <w:rPr>
          <w:rFonts w:ascii="Arial" w:hAnsi="Arial" w:eastAsia="等线" w:cs="Arial"/>
          <w:b/>
          <w:sz w:val="32"/>
        </w:rPr>
        <w:t>4.1 日常维保验收</w:t>
      </w:r>
    </w:p>
    <w:p>
      <w:pPr>
        <w:spacing w:before="120" w:after="120"/>
        <w:jc w:val="left"/>
      </w:pPr>
      <w:r>
        <w:rPr>
          <w:rFonts w:ascii="Arial" w:hAnsi="Arial" w:eastAsia="等线" w:cs="Arial"/>
          <w:sz w:val="22"/>
        </w:rPr>
        <w:t>乙方严格按照投标文件维保方案完成设备维护、巡检保养工作，设备运行状态正常、维保记录完整规范且经双方签字确认的，视为当期维保验收合格。</w:t>
      </w:r>
    </w:p>
    <w:p>
      <w:pPr>
        <w:spacing w:before="320" w:after="120"/>
        <w:jc w:val="left"/>
        <w:outlineLvl w:val="1"/>
      </w:pPr>
      <w:r>
        <w:rPr>
          <w:rFonts w:ascii="Arial" w:hAnsi="Arial" w:eastAsia="等线" w:cs="Arial"/>
          <w:b/>
          <w:sz w:val="32"/>
        </w:rPr>
        <w:t>4.2 年度维保验收</w:t>
      </w:r>
    </w:p>
    <w:p>
      <w:pPr>
        <w:spacing w:before="120" w:after="120"/>
        <w:jc w:val="left"/>
      </w:pPr>
      <w:r>
        <w:rPr>
          <w:rFonts w:ascii="Arial" w:hAnsi="Arial" w:eastAsia="等线" w:cs="Arial"/>
          <w:sz w:val="22"/>
        </w:rPr>
        <w:t>合同期满后，乙方汇总提交全年维保记录、维修工单、年度服务总结等全套资料，经甲方综合验收合格后，办理维保费用最终结算。</w:t>
      </w:r>
    </w:p>
    <w:p>
      <w:pPr>
        <w:spacing w:before="380" w:after="140"/>
        <w:jc w:val="left"/>
        <w:outlineLvl w:val="0"/>
      </w:pPr>
      <w:r>
        <w:rPr>
          <w:rFonts w:ascii="Arial" w:hAnsi="Arial" w:eastAsia="等线" w:cs="Arial"/>
          <w:b/>
          <w:sz w:val="36"/>
        </w:rPr>
        <w:t>第五条 违约责任</w:t>
      </w:r>
    </w:p>
    <w:p>
      <w:pPr>
        <w:spacing w:before="320" w:after="120"/>
        <w:jc w:val="left"/>
        <w:outlineLvl w:val="1"/>
      </w:pPr>
      <w:r>
        <w:rPr>
          <w:rFonts w:ascii="Arial" w:hAnsi="Arial" w:eastAsia="等线" w:cs="Arial"/>
          <w:b/>
          <w:sz w:val="32"/>
        </w:rPr>
        <w:t>5.1 服务履约违约</w:t>
      </w:r>
    </w:p>
    <w:p>
      <w:pPr>
        <w:spacing w:before="120" w:after="120"/>
        <w:jc w:val="left"/>
      </w:pPr>
      <w:r>
        <w:rPr>
          <w:rFonts w:ascii="Arial" w:hAnsi="Arial" w:eastAsia="等线" w:cs="Arial"/>
          <w:sz w:val="22"/>
        </w:rPr>
        <w:t>乙方未按约定时限响应报修、逾期到场服务、维保巡检缺位漏检的，每次须向甲方支付合同维保总价1%的违约金；若造成甲方检测工作延误、经济损失的，乙方须另行承担相应赔偿责任。</w:t>
      </w:r>
    </w:p>
    <w:p>
      <w:pPr>
        <w:spacing w:before="320" w:after="120"/>
        <w:jc w:val="left"/>
        <w:outlineLvl w:val="1"/>
      </w:pPr>
      <w:r>
        <w:rPr>
          <w:rFonts w:ascii="Arial" w:hAnsi="Arial" w:eastAsia="等线" w:cs="Arial"/>
          <w:b/>
          <w:sz w:val="32"/>
        </w:rPr>
        <w:t>5.2 配件及报价违约</w:t>
      </w:r>
    </w:p>
    <w:p>
      <w:pPr>
        <w:spacing w:before="120" w:after="120"/>
        <w:jc w:val="left"/>
      </w:pPr>
      <w:r>
        <w:rPr>
          <w:rFonts w:ascii="Arial" w:hAnsi="Arial" w:eastAsia="等线" w:cs="Arial"/>
          <w:sz w:val="22"/>
        </w:rPr>
        <w:t>乙方违规使用翻新配件、劣质耗材，或虚报维修内容、虚高报价的，甲方有权不予结算对应费用、责令乙方限期整改；合同期内出现3次及以上上述违约行为的，甲方有权单方解除本合同，乙方须向甲方支付合同总价30%的违约金。</w:t>
      </w:r>
    </w:p>
    <w:p>
      <w:pPr>
        <w:spacing w:before="320" w:after="120"/>
        <w:jc w:val="left"/>
        <w:outlineLvl w:val="1"/>
      </w:pPr>
      <w:r>
        <w:rPr>
          <w:rFonts w:ascii="Arial" w:hAnsi="Arial" w:eastAsia="等线" w:cs="Arial"/>
          <w:b/>
          <w:sz w:val="32"/>
        </w:rPr>
        <w:t>5.3 甲方付款违约</w:t>
      </w:r>
    </w:p>
    <w:p>
      <w:pPr>
        <w:spacing w:before="120" w:after="120"/>
        <w:jc w:val="left"/>
      </w:pPr>
      <w:r>
        <w:rPr>
          <w:rFonts w:ascii="Arial" w:hAnsi="Arial" w:eastAsia="等线" w:cs="Arial"/>
          <w:sz w:val="22"/>
        </w:rPr>
        <w:t>甲方无正当理由逾期支付服务费用的，按照同期全国银行间同业拆借中心公布的贷款市场报价利率向乙方支付逾期利息。</w:t>
      </w:r>
    </w:p>
    <w:p>
      <w:pPr>
        <w:spacing w:before="320" w:after="120"/>
        <w:jc w:val="left"/>
        <w:outlineLvl w:val="1"/>
      </w:pPr>
      <w:r>
        <w:rPr>
          <w:rFonts w:ascii="Arial" w:hAnsi="Arial" w:eastAsia="等线" w:cs="Arial"/>
          <w:b/>
          <w:sz w:val="32"/>
        </w:rPr>
        <w:t>5.4 根本违约责任</w:t>
      </w:r>
    </w:p>
    <w:p>
      <w:pPr>
        <w:spacing w:before="120" w:after="120"/>
        <w:jc w:val="left"/>
      </w:pPr>
      <w:r>
        <w:rPr>
          <w:rFonts w:ascii="Arial" w:hAnsi="Arial" w:eastAsia="等线" w:cs="Arial"/>
          <w:sz w:val="22"/>
        </w:rPr>
        <w:t>任何一方擅自单方解除合同、存在严重违约行为的，守约方有权解除合同，并要求违约方赔偿全部实际损失。</w:t>
      </w:r>
    </w:p>
    <w:p>
      <w:pPr>
        <w:spacing w:before="380" w:after="140"/>
        <w:jc w:val="left"/>
        <w:outlineLvl w:val="0"/>
        <w:rPr>
          <w:rFonts w:ascii="Arial" w:hAnsi="Arial" w:eastAsia="等线" w:cs="Arial"/>
          <w:b/>
          <w:sz w:val="36"/>
        </w:rPr>
      </w:pPr>
      <w:r>
        <w:rPr>
          <w:rFonts w:ascii="Arial" w:hAnsi="Arial" w:eastAsia="等线" w:cs="Arial"/>
          <w:b/>
          <w:sz w:val="36"/>
        </w:rPr>
        <w:t>第六条</w:t>
      </w:r>
      <w:r>
        <w:rPr>
          <w:rFonts w:hint="eastAsia" w:ascii="Arial" w:hAnsi="Arial" w:eastAsia="等线" w:cs="Arial"/>
          <w:b/>
          <w:sz w:val="36"/>
        </w:rPr>
        <w:t xml:space="preserve"> 保密要求</w:t>
      </w:r>
    </w:p>
    <w:p>
      <w:pPr>
        <w:pStyle w:val="2"/>
      </w:pPr>
      <w:r>
        <w:rPr>
          <w:rFonts w:hint="eastAsia" w:ascii="宋体" w:hAnsi="宋体" w:cs="宋体"/>
          <w:szCs w:val="21"/>
          <w:lang w:bidi="ar"/>
        </w:rPr>
        <w:t>本项目所称“保密信息”，是指甲方在维保服务过程中，以书面、口头、电子数据、实物等任何形式向乙方披露的，或乙方在服务过程中自行接触、获取的，标明“保密”“机密”字样，或根据其性质、用途应合理判断为需要保密的所有信息，无论该信息是否明确标注保密标识，均属于本协议约定的保密信息。</w:t>
      </w:r>
    </w:p>
    <w:p>
      <w:pPr>
        <w:spacing w:before="320" w:after="120"/>
        <w:jc w:val="left"/>
        <w:outlineLvl w:val="1"/>
        <w:rPr>
          <w:rFonts w:ascii="Arial" w:hAnsi="Arial" w:eastAsia="等线" w:cs="Arial"/>
          <w:b/>
          <w:sz w:val="32"/>
        </w:rPr>
      </w:pPr>
      <w:r>
        <w:rPr>
          <w:rFonts w:ascii="Arial" w:hAnsi="Arial" w:eastAsia="等线" w:cs="Arial"/>
          <w:b/>
          <w:sz w:val="32"/>
        </w:rPr>
        <w:t>6.1</w:t>
      </w:r>
      <w:r>
        <w:rPr>
          <w:rFonts w:hint="eastAsia" w:ascii="Arial" w:hAnsi="Arial" w:eastAsia="等线" w:cs="Arial"/>
          <w:b/>
          <w:sz w:val="32"/>
        </w:rPr>
        <w:t>保密范围</w:t>
      </w:r>
    </w:p>
    <w:p>
      <w:pPr>
        <w:spacing w:before="320" w:after="120"/>
        <w:jc w:val="left"/>
        <w:outlineLvl w:val="1"/>
        <w:rPr>
          <w:rFonts w:ascii="宋体" w:hAnsi="宋体" w:eastAsia="等线" w:cs="宋体"/>
          <w:szCs w:val="21"/>
          <w:lang w:bidi="ar"/>
        </w:rPr>
      </w:pPr>
      <w:r>
        <w:rPr>
          <w:rFonts w:hint="eastAsia" w:ascii="宋体" w:hAnsi="宋体" w:eastAsia="等线" w:cs="宋体"/>
          <w:szCs w:val="21"/>
          <w:lang w:bidi="ar"/>
        </w:rPr>
        <w:t>包括但不限于：</w:t>
      </w:r>
    </w:p>
    <w:p>
      <w:pPr>
        <w:widowControl/>
        <w:spacing w:line="360" w:lineRule="auto"/>
        <w:jc w:val="left"/>
        <w:rPr>
          <w:rFonts w:ascii="宋体" w:hAnsi="宋体" w:eastAsia="等线" w:cs="宋体"/>
          <w:szCs w:val="21"/>
          <w:lang w:bidi="ar"/>
        </w:rPr>
      </w:pPr>
      <w:r>
        <w:rPr>
          <w:rFonts w:hint="eastAsia" w:ascii="宋体" w:hAnsi="宋体" w:eastAsia="等线" w:cs="宋体"/>
          <w:szCs w:val="21"/>
          <w:lang w:bidi="ar"/>
        </w:rPr>
        <w:t>（1） 技术信息：设备型号、配置参数、硬件规格、固件版本、维修记录、故障日志、测试数据、性能参数，以及甲方针对设备定制的设置、驱动程序、操作手册等相关技术资料；</w:t>
      </w:r>
    </w:p>
    <w:p>
      <w:pPr>
        <w:widowControl/>
        <w:spacing w:line="360" w:lineRule="auto"/>
        <w:jc w:val="left"/>
        <w:rPr>
          <w:rFonts w:ascii="宋体" w:hAnsi="宋体" w:eastAsia="等线" w:cs="宋体"/>
          <w:szCs w:val="21"/>
          <w:lang w:bidi="ar"/>
        </w:rPr>
      </w:pPr>
      <w:r>
        <w:rPr>
          <w:rFonts w:hint="eastAsia" w:ascii="宋体" w:hAnsi="宋体" w:eastAsia="等线" w:cs="宋体"/>
          <w:szCs w:val="21"/>
          <w:lang w:bidi="ar"/>
        </w:rPr>
        <w:t>（2） 商业信息：甲方的办公流程、人员信息、客户名单、合作单位信息、采购价格、维保费用标准、财务数据、经营计划、市场策略等与甲方经营活动相关的未公开信息；</w:t>
      </w:r>
    </w:p>
    <w:p>
      <w:pPr>
        <w:widowControl/>
        <w:spacing w:line="360" w:lineRule="auto"/>
        <w:jc w:val="left"/>
        <w:rPr>
          <w:rFonts w:ascii="宋体" w:hAnsi="宋体" w:eastAsia="等线" w:cs="宋体"/>
          <w:szCs w:val="21"/>
          <w:lang w:bidi="ar"/>
        </w:rPr>
      </w:pPr>
      <w:r>
        <w:rPr>
          <w:rFonts w:hint="eastAsia" w:ascii="宋体" w:hAnsi="宋体" w:eastAsia="等线" w:cs="宋体"/>
          <w:szCs w:val="21"/>
          <w:lang w:bidi="ar"/>
        </w:rPr>
        <w:t>（3） 数据信息：设备等各类文档内容（包括但不限于公文、合同、报表、涉密文件等），设备存储的用户数据、使用记录、操作日志等；</w:t>
      </w:r>
    </w:p>
    <w:p>
      <w:pPr>
        <w:widowControl/>
        <w:spacing w:line="360" w:lineRule="auto"/>
        <w:jc w:val="left"/>
        <w:rPr>
          <w:rFonts w:ascii="宋体" w:hAnsi="宋体" w:eastAsia="等线" w:cs="宋体"/>
          <w:szCs w:val="21"/>
          <w:lang w:bidi="ar"/>
        </w:rPr>
      </w:pPr>
      <w:r>
        <w:rPr>
          <w:rFonts w:hint="eastAsia" w:ascii="宋体" w:hAnsi="宋体" w:eastAsia="等线" w:cs="宋体"/>
          <w:szCs w:val="21"/>
          <w:lang w:bidi="ar"/>
        </w:rPr>
        <w:t>（4） 其他信息：本协议内容、甲乙双方合作过程中的沟通记录、甲方内部管理制度中涉及保密的相关规定，以及甲方明确要求乙方保密的其他信息。</w:t>
      </w:r>
    </w:p>
    <w:p>
      <w:pPr>
        <w:spacing w:before="320" w:after="120"/>
        <w:jc w:val="left"/>
        <w:outlineLvl w:val="1"/>
        <w:rPr>
          <w:rFonts w:ascii="Arial" w:hAnsi="Arial" w:eastAsia="等线" w:cs="Arial"/>
          <w:b/>
          <w:sz w:val="32"/>
        </w:rPr>
      </w:pPr>
      <w:r>
        <w:rPr>
          <w:rFonts w:hint="eastAsia" w:ascii="Arial" w:hAnsi="Arial" w:eastAsia="等线" w:cs="Arial"/>
          <w:b/>
          <w:sz w:val="32"/>
        </w:rPr>
        <w:t>6</w:t>
      </w:r>
      <w:r>
        <w:rPr>
          <w:rFonts w:ascii="Arial" w:hAnsi="Arial" w:eastAsia="等线" w:cs="Arial"/>
          <w:b/>
          <w:sz w:val="32"/>
        </w:rPr>
        <w:t xml:space="preserve">.2 </w:t>
      </w:r>
      <w:r>
        <w:rPr>
          <w:rFonts w:hint="eastAsia" w:ascii="Arial" w:hAnsi="Arial" w:eastAsia="等线" w:cs="Arial"/>
          <w:b/>
          <w:sz w:val="32"/>
        </w:rPr>
        <w:t>保密义务</w:t>
      </w:r>
    </w:p>
    <w:p>
      <w:pPr>
        <w:widowControl/>
        <w:spacing w:line="360" w:lineRule="auto"/>
        <w:jc w:val="left"/>
        <w:rPr>
          <w:rFonts w:ascii="宋体" w:hAnsi="宋体" w:cs="宋体"/>
          <w:szCs w:val="21"/>
        </w:rPr>
      </w:pPr>
      <w:r>
        <w:rPr>
          <w:rFonts w:hint="eastAsia" w:ascii="宋体" w:hAnsi="宋体" w:cs="宋体"/>
          <w:szCs w:val="21"/>
          <w:lang w:bidi="ar"/>
        </w:rPr>
        <w:t>2.1 乙方承诺，仅为履行本协议约定的维保服务之目的，在必要范围内接触和使用保密信息，不得将保密信息用于任何与维保服务无关的目的，包括但不限于自身经营、向第三方泄露、转让、出租、复制、传播等。</w:t>
      </w:r>
    </w:p>
    <w:p>
      <w:pPr>
        <w:widowControl/>
        <w:spacing w:line="360" w:lineRule="auto"/>
        <w:jc w:val="left"/>
        <w:rPr>
          <w:rFonts w:ascii="宋体" w:hAnsi="宋体" w:cs="宋体"/>
          <w:szCs w:val="21"/>
        </w:rPr>
      </w:pPr>
      <w:r>
        <w:rPr>
          <w:rFonts w:hint="eastAsia" w:ascii="宋体" w:hAnsi="宋体" w:cs="宋体"/>
          <w:szCs w:val="21"/>
          <w:lang w:bidi="ar"/>
        </w:rPr>
        <w:t>2.2 乙方应采取不低于保护自身同类保密信息的合理谨慎措施，保护甲方保密信息的安全，包括但不限于：限制接触保密信息的人员范围（仅允许参与维保服务的专业技术人员接触）、对涉密设备和资料采取加密、封存、限制访问等措施，防止保密信息丢失、被盗、泄露或被未经授权的访问、复制、使用。</w:t>
      </w:r>
    </w:p>
    <w:p>
      <w:pPr>
        <w:widowControl/>
        <w:spacing w:line="360" w:lineRule="auto"/>
        <w:jc w:val="left"/>
        <w:rPr>
          <w:rFonts w:ascii="宋体" w:hAnsi="宋体" w:cs="宋体"/>
          <w:szCs w:val="21"/>
        </w:rPr>
      </w:pPr>
      <w:r>
        <w:rPr>
          <w:rFonts w:hint="eastAsia" w:ascii="宋体" w:hAnsi="宋体" w:cs="宋体"/>
          <w:szCs w:val="21"/>
          <w:lang w:bidi="ar"/>
        </w:rPr>
        <w:t>2.3 乙方负责对其参与维保服务的员工进行严格管理，明确其保密义务，并确保该等人员遵守本协议约定。乙方对其员工的违约行为承担连带责任。</w:t>
      </w:r>
    </w:p>
    <w:p>
      <w:pPr>
        <w:widowControl/>
        <w:spacing w:line="360" w:lineRule="auto"/>
        <w:jc w:val="left"/>
        <w:rPr>
          <w:rFonts w:ascii="宋体" w:hAnsi="宋体" w:cs="宋体"/>
          <w:szCs w:val="21"/>
        </w:rPr>
      </w:pPr>
      <w:r>
        <w:rPr>
          <w:rFonts w:hint="eastAsia" w:ascii="宋体" w:hAnsi="宋体" w:cs="宋体"/>
          <w:szCs w:val="21"/>
          <w:lang w:bidi="ar"/>
        </w:rPr>
        <w:t>2.4 维保服务过程中，乙方不得私自复制、摘抄、记录、留存甲方保密信息，不得将甲方设备存储的任何数据、文档导出、拷贝至乙方的设备（包括电脑、U盘、移动硬盘等），不得泄露维保服务设备等任何内容。</w:t>
      </w:r>
    </w:p>
    <w:p>
      <w:pPr>
        <w:widowControl/>
        <w:spacing w:line="360" w:lineRule="auto"/>
        <w:jc w:val="left"/>
        <w:rPr>
          <w:rFonts w:ascii="宋体" w:hAnsi="宋体" w:cs="宋体"/>
          <w:szCs w:val="21"/>
        </w:rPr>
      </w:pPr>
      <w:r>
        <w:rPr>
          <w:rFonts w:hint="eastAsia" w:ascii="宋体" w:hAnsi="宋体" w:cs="宋体"/>
          <w:szCs w:val="21"/>
          <w:lang w:bidi="ar"/>
        </w:rPr>
        <w:t>2.5 若乙方在维保过程中发现甲方保密信息存在泄露风险，应立即采取有效措施防止泄露扩大，并第一时间书面通知甲方，配合甲方进行处置。</w:t>
      </w:r>
    </w:p>
    <w:p>
      <w:pPr>
        <w:widowControl/>
        <w:spacing w:line="360" w:lineRule="auto"/>
        <w:jc w:val="left"/>
        <w:rPr>
          <w:rFonts w:ascii="宋体" w:hAnsi="宋体" w:cs="宋体"/>
          <w:szCs w:val="21"/>
        </w:rPr>
      </w:pPr>
      <w:r>
        <w:rPr>
          <w:rFonts w:hint="eastAsia" w:ascii="宋体" w:hAnsi="宋体" w:cs="宋体"/>
          <w:szCs w:val="21"/>
          <w:lang w:bidi="ar"/>
        </w:rPr>
        <w:t>2.6 维保服务结束后，乙方应根据甲方的书面要求，返还或销毁所有载有甲方保密信息的载体（包括但不限于文件、资料、笔记本、电子文档、U盘等）及其所有复制件，不得留存任何形式的保密信息备份。</w:t>
      </w:r>
    </w:p>
    <w:p>
      <w:pPr>
        <w:spacing w:before="320" w:after="120"/>
        <w:jc w:val="left"/>
        <w:outlineLvl w:val="1"/>
        <w:rPr>
          <w:rFonts w:ascii="Arial" w:hAnsi="Arial" w:eastAsia="等线" w:cs="Arial"/>
          <w:b/>
          <w:sz w:val="32"/>
        </w:rPr>
      </w:pPr>
      <w:r>
        <w:rPr>
          <w:rFonts w:hint="eastAsia" w:ascii="Arial" w:hAnsi="Arial" w:eastAsia="等线" w:cs="Arial"/>
          <w:b/>
          <w:sz w:val="32"/>
        </w:rPr>
        <w:t>6</w:t>
      </w:r>
      <w:r>
        <w:rPr>
          <w:rFonts w:ascii="Arial" w:hAnsi="Arial" w:eastAsia="等线" w:cs="Arial"/>
          <w:b/>
          <w:sz w:val="32"/>
        </w:rPr>
        <w:t>.3</w:t>
      </w:r>
      <w:r>
        <w:rPr>
          <w:rFonts w:hint="eastAsia" w:ascii="Arial" w:hAnsi="Arial" w:eastAsia="等线" w:cs="Arial"/>
          <w:b/>
          <w:sz w:val="32"/>
        </w:rPr>
        <w:t>保密期限</w:t>
      </w:r>
    </w:p>
    <w:p>
      <w:pPr>
        <w:widowControl/>
        <w:spacing w:line="360" w:lineRule="auto"/>
        <w:jc w:val="left"/>
        <w:rPr>
          <w:rFonts w:ascii="宋体" w:hAnsi="宋体" w:cs="宋体"/>
          <w:szCs w:val="21"/>
        </w:rPr>
      </w:pPr>
      <w:r>
        <w:rPr>
          <w:rFonts w:hint="eastAsia" w:ascii="宋体" w:hAnsi="宋体" w:cs="宋体"/>
          <w:szCs w:val="21"/>
          <w:lang w:bidi="ar"/>
        </w:rPr>
        <w:t>3.1 本协议项下的保密义务自乙方首次接触甲方保密信息之日起生效。</w:t>
      </w:r>
    </w:p>
    <w:p>
      <w:pPr>
        <w:widowControl/>
        <w:spacing w:line="360" w:lineRule="auto"/>
        <w:jc w:val="left"/>
        <w:rPr>
          <w:rFonts w:ascii="宋体" w:hAnsi="宋体" w:cs="宋体"/>
          <w:szCs w:val="21"/>
        </w:rPr>
      </w:pPr>
      <w:r>
        <w:rPr>
          <w:rFonts w:hint="eastAsia" w:ascii="宋体" w:hAnsi="宋体" w:cs="宋体"/>
          <w:szCs w:val="21"/>
          <w:lang w:bidi="ar"/>
        </w:rPr>
        <w:t>3.2 保密义务在本维保服务合同（如有）有效期内持续有效；即使本协议终止、解除，或维保服务完成，乙方的保密义务仍持续有效，直至该保密信息成为公众所知悉的信息，或甲方书面同意解除乙方的保密义务。</w:t>
      </w:r>
    </w:p>
    <w:p>
      <w:pPr>
        <w:widowControl/>
        <w:spacing w:line="360" w:lineRule="auto"/>
        <w:jc w:val="left"/>
        <w:rPr>
          <w:rFonts w:ascii="宋体" w:hAnsi="宋体" w:cs="宋体"/>
          <w:szCs w:val="21"/>
        </w:rPr>
      </w:pPr>
      <w:r>
        <w:rPr>
          <w:rFonts w:hint="eastAsia" w:ascii="宋体" w:hAnsi="宋体" w:cs="宋体"/>
          <w:szCs w:val="21"/>
          <w:lang w:bidi="ar"/>
        </w:rPr>
        <w:t>3.3 对于甲方的核心保密信息（包括但不限于涉密文档、核心技术参数、重要经营数据等），乙方的保密义务不受上述期限限制，直至该核心保密信息公开为止。</w:t>
      </w:r>
    </w:p>
    <w:p>
      <w:pPr>
        <w:spacing w:before="380" w:after="140"/>
        <w:jc w:val="left"/>
        <w:outlineLvl w:val="0"/>
      </w:pPr>
      <w:r>
        <w:rPr>
          <w:rFonts w:ascii="Arial" w:hAnsi="Arial" w:eastAsia="等线" w:cs="Arial"/>
          <w:b/>
          <w:sz w:val="36"/>
        </w:rPr>
        <w:t>第</w:t>
      </w:r>
      <w:r>
        <w:rPr>
          <w:rFonts w:hint="eastAsia" w:ascii="Arial" w:hAnsi="Arial" w:eastAsia="等线" w:cs="Arial"/>
          <w:b/>
          <w:sz w:val="36"/>
        </w:rPr>
        <w:t>七</w:t>
      </w:r>
      <w:r>
        <w:rPr>
          <w:rFonts w:ascii="Arial" w:hAnsi="Arial" w:eastAsia="等线" w:cs="Arial"/>
          <w:b/>
          <w:sz w:val="36"/>
        </w:rPr>
        <w:t>条 不可抗力</w:t>
      </w:r>
    </w:p>
    <w:p>
      <w:pPr>
        <w:spacing w:before="120" w:after="120"/>
        <w:jc w:val="left"/>
      </w:pPr>
      <w:r>
        <w:rPr>
          <w:rFonts w:ascii="Arial" w:hAnsi="Arial" w:eastAsia="等线" w:cs="Arial"/>
          <w:sz w:val="22"/>
        </w:rPr>
        <w:t>因地震、台风、洪涝、火灾、疫情、政府政策管控等不可抗力因素导致本合同无法正常履行的，双方互不承担违约责任，须及时通知对方，并协商确定后续合同履行、变更或终止事宜。</w:t>
      </w:r>
    </w:p>
    <w:p>
      <w:pPr>
        <w:spacing w:before="380" w:after="140"/>
        <w:jc w:val="left"/>
        <w:outlineLvl w:val="0"/>
      </w:pPr>
      <w:r>
        <w:rPr>
          <w:rFonts w:ascii="Arial" w:hAnsi="Arial" w:eastAsia="等线" w:cs="Arial"/>
          <w:b/>
          <w:sz w:val="36"/>
        </w:rPr>
        <w:t>第</w:t>
      </w:r>
      <w:r>
        <w:rPr>
          <w:rFonts w:hint="eastAsia" w:ascii="Arial" w:hAnsi="Arial" w:eastAsia="等线" w:cs="Arial"/>
          <w:b/>
          <w:sz w:val="36"/>
        </w:rPr>
        <w:t>八</w:t>
      </w:r>
      <w:r>
        <w:rPr>
          <w:rFonts w:ascii="Arial" w:hAnsi="Arial" w:eastAsia="等线" w:cs="Arial"/>
          <w:b/>
          <w:sz w:val="36"/>
        </w:rPr>
        <w:t>条 争议解决</w:t>
      </w:r>
    </w:p>
    <w:p>
      <w:pPr>
        <w:spacing w:before="120" w:after="120"/>
        <w:jc w:val="left"/>
      </w:pPr>
      <w:r>
        <w:rPr>
          <w:rFonts w:ascii="Arial" w:hAnsi="Arial" w:eastAsia="等线" w:cs="Arial"/>
          <w:sz w:val="22"/>
        </w:rPr>
        <w:t>本合同履行过程中产生的争议、分歧，双方优先通过友好协商方式解决；协商无法达成一致的，提交甲方所在地人民法院通过诉讼方式解决。</w:t>
      </w:r>
    </w:p>
    <w:p>
      <w:pPr>
        <w:spacing w:before="380" w:after="140"/>
        <w:jc w:val="left"/>
        <w:outlineLvl w:val="0"/>
      </w:pPr>
      <w:r>
        <w:rPr>
          <w:rFonts w:ascii="Arial" w:hAnsi="Arial" w:eastAsia="等线" w:cs="Arial"/>
          <w:b/>
          <w:sz w:val="36"/>
        </w:rPr>
        <w:t>第</w:t>
      </w:r>
      <w:r>
        <w:rPr>
          <w:rFonts w:hint="eastAsia" w:ascii="Arial" w:hAnsi="Arial" w:eastAsia="等线" w:cs="Arial"/>
          <w:b/>
          <w:sz w:val="36"/>
        </w:rPr>
        <w:t>九</w:t>
      </w:r>
      <w:r>
        <w:rPr>
          <w:rFonts w:ascii="Arial" w:hAnsi="Arial" w:eastAsia="等线" w:cs="Arial"/>
          <w:b/>
          <w:sz w:val="36"/>
        </w:rPr>
        <w:t>条 合同期限与终止</w:t>
      </w:r>
    </w:p>
    <w:p>
      <w:pPr>
        <w:spacing w:before="320" w:after="120"/>
        <w:jc w:val="left"/>
        <w:outlineLvl w:val="1"/>
      </w:pPr>
      <w:r>
        <w:rPr>
          <w:rFonts w:ascii="Arial" w:hAnsi="Arial" w:eastAsia="等线" w:cs="Arial"/>
          <w:b/>
          <w:sz w:val="32"/>
        </w:rPr>
        <w:t>9.1 维保服务期限</w:t>
      </w:r>
    </w:p>
    <w:p>
      <w:pPr>
        <w:spacing w:before="120" w:after="120"/>
        <w:jc w:val="left"/>
      </w:pPr>
      <w:r>
        <w:rPr>
          <w:rFonts w:ascii="Arial" w:hAnsi="Arial" w:eastAsia="等线" w:cs="Arial"/>
          <w:sz w:val="22"/>
        </w:rPr>
        <w:t>自____年__月__日至____年__月__日止。</w:t>
      </w:r>
    </w:p>
    <w:p>
      <w:pPr>
        <w:spacing w:before="320" w:after="120"/>
        <w:jc w:val="left"/>
        <w:outlineLvl w:val="1"/>
      </w:pPr>
      <w:r>
        <w:rPr>
          <w:rFonts w:ascii="Arial" w:hAnsi="Arial" w:eastAsia="等线" w:cs="Arial"/>
          <w:b/>
          <w:sz w:val="32"/>
        </w:rPr>
        <w:t>9.2 维修服务期限</w:t>
      </w:r>
    </w:p>
    <w:p>
      <w:pPr>
        <w:spacing w:before="120" w:after="120"/>
        <w:jc w:val="left"/>
      </w:pPr>
      <w:r>
        <w:rPr>
          <w:rFonts w:ascii="Arial" w:hAnsi="Arial" w:eastAsia="等线" w:cs="Arial"/>
          <w:sz w:val="22"/>
        </w:rPr>
        <w:t>维修服务期限与维保服务期限一致，当累计维修费用超出合同约定最高限价时，非维保类设备维修服务自动终止。</w:t>
      </w:r>
    </w:p>
    <w:p>
      <w:pPr>
        <w:spacing w:before="320" w:after="120"/>
        <w:jc w:val="left"/>
        <w:outlineLvl w:val="1"/>
      </w:pPr>
      <w:r>
        <w:rPr>
          <w:rFonts w:ascii="Arial" w:hAnsi="Arial" w:eastAsia="等线" w:cs="Arial"/>
          <w:b/>
          <w:sz w:val="32"/>
        </w:rPr>
        <w:t>9.3 合同终止情形</w:t>
      </w:r>
    </w:p>
    <w:p>
      <w:pPr>
        <w:spacing w:before="120" w:after="120"/>
        <w:jc w:val="left"/>
      </w:pPr>
      <w:r>
        <w:rPr>
          <w:rFonts w:ascii="Arial" w:hAnsi="Arial" w:eastAsia="等线" w:cs="Arial"/>
          <w:sz w:val="22"/>
        </w:rPr>
        <w:t>合同期满、全部服务履约完成、款项结清后，本合同自动终止；一方发生严重违约且被守约方依法解除合同的，本合同提前终止。</w:t>
      </w:r>
    </w:p>
    <w:p>
      <w:pPr>
        <w:spacing w:before="380" w:after="140"/>
        <w:jc w:val="left"/>
        <w:outlineLvl w:val="0"/>
      </w:pPr>
      <w:r>
        <w:rPr>
          <w:rFonts w:ascii="Arial" w:hAnsi="Arial" w:eastAsia="等线" w:cs="Arial"/>
          <w:b/>
          <w:sz w:val="36"/>
        </w:rPr>
        <w:t>第</w:t>
      </w:r>
      <w:r>
        <w:rPr>
          <w:rFonts w:hint="eastAsia" w:ascii="Arial" w:hAnsi="Arial" w:eastAsia="等线" w:cs="Arial"/>
          <w:b/>
          <w:sz w:val="36"/>
        </w:rPr>
        <w:t>十</w:t>
      </w:r>
      <w:r>
        <w:rPr>
          <w:rFonts w:ascii="Arial" w:hAnsi="Arial" w:eastAsia="等线" w:cs="Arial"/>
          <w:b/>
          <w:sz w:val="36"/>
        </w:rPr>
        <w:t>条 其他约定</w:t>
      </w:r>
    </w:p>
    <w:p>
      <w:pPr>
        <w:spacing w:before="320" w:after="120"/>
        <w:jc w:val="left"/>
        <w:outlineLvl w:val="1"/>
      </w:pPr>
      <w:r>
        <w:rPr>
          <w:rFonts w:ascii="Arial" w:hAnsi="Arial" w:eastAsia="等线" w:cs="Arial"/>
          <w:b/>
          <w:sz w:val="32"/>
        </w:rPr>
        <w:t>10.1 合同组成文件</w:t>
      </w:r>
    </w:p>
    <w:p>
      <w:pPr>
        <w:spacing w:before="120" w:after="120"/>
        <w:jc w:val="left"/>
      </w:pPr>
      <w:r>
        <w:rPr>
          <w:rFonts w:ascii="Arial" w:hAnsi="Arial" w:eastAsia="等线" w:cs="Arial"/>
          <w:sz w:val="22"/>
        </w:rPr>
        <w:t>本项目招标文件、中标（成交）通知书、乙方投标文件、设备附件清单、报价明细为本合同不可分割的组成部分，与本合同正文具有同等法律效力。</w:t>
      </w:r>
      <w:r>
        <w:rPr>
          <w:rFonts w:hint="eastAsia" w:ascii="Arial" w:hAnsi="Arial" w:eastAsia="等线" w:cs="Arial"/>
          <w:sz w:val="22"/>
        </w:rPr>
        <w:t>上述文件内容如发生冲突或不一致时，应以对甲方（采购人）有利的解释为准；若无法据此确定，则按下列顺序优先适用：（1）本合同的补充协议；（2）本合同正文；（3）中标（成交）通知书；（4）乙方投标文件；（5）招标文件。</w:t>
      </w:r>
    </w:p>
    <w:p>
      <w:pPr>
        <w:spacing w:before="320" w:after="120"/>
        <w:jc w:val="left"/>
        <w:outlineLvl w:val="1"/>
      </w:pPr>
      <w:r>
        <w:rPr>
          <w:rFonts w:ascii="Arial" w:hAnsi="Arial" w:eastAsia="等线" w:cs="Arial"/>
          <w:b/>
          <w:sz w:val="32"/>
        </w:rPr>
        <w:t>10.2 补充协议效力</w:t>
      </w:r>
    </w:p>
    <w:p>
      <w:pPr>
        <w:spacing w:before="120" w:after="120"/>
        <w:jc w:val="left"/>
      </w:pPr>
      <w:r>
        <w:rPr>
          <w:rFonts w:ascii="Arial" w:hAnsi="Arial" w:eastAsia="等线" w:cs="Arial"/>
          <w:sz w:val="22"/>
        </w:rPr>
        <w:t>本合同未尽事宜，双方可协商签订书面补充协议，补充协议与本合同具有同等法律效力。</w:t>
      </w:r>
    </w:p>
    <w:p>
      <w:pPr>
        <w:spacing w:before="320" w:after="120"/>
        <w:jc w:val="left"/>
        <w:outlineLvl w:val="1"/>
      </w:pPr>
      <w:r>
        <w:rPr>
          <w:rFonts w:ascii="Arial" w:hAnsi="Arial" w:eastAsia="等线" w:cs="Arial"/>
          <w:b/>
          <w:sz w:val="32"/>
        </w:rPr>
        <w:t>10.3 合同份数与生效</w:t>
      </w:r>
    </w:p>
    <w:p>
      <w:pPr>
        <w:spacing w:before="120" w:after="120"/>
        <w:jc w:val="left"/>
      </w:pPr>
      <w:r>
        <w:rPr>
          <w:rFonts w:ascii="Arial" w:hAnsi="Arial" w:eastAsia="等线" w:cs="Arial"/>
          <w:sz w:val="22"/>
        </w:rPr>
        <w:t>本合同一式肆份，甲方执贰份，乙方执贰份，自双方签字盖章之日起正式生效。</w:t>
      </w:r>
    </w:p>
    <w:p>
      <w:pPr>
        <w:spacing w:before="120" w:after="120"/>
        <w:jc w:val="left"/>
      </w:pPr>
    </w:p>
    <w:p>
      <w:pPr>
        <w:pStyle w:val="2"/>
      </w:pPr>
    </w:p>
    <w:p>
      <w:pPr>
        <w:rPr>
          <w:rFonts w:ascii="方正仿宋_GBK" w:eastAsia="方正仿宋_GBK"/>
          <w:sz w:val="32"/>
          <w:szCs w:val="32"/>
        </w:rPr>
      </w:pPr>
      <w:r>
        <w:rPr>
          <w:rFonts w:hint="eastAsia" w:ascii="方正仿宋_GBK" w:eastAsia="方正仿宋_GBK"/>
          <w:sz w:val="32"/>
          <w:szCs w:val="32"/>
        </w:rPr>
        <w:t>采购人（甲方）（盖章）：</w:t>
      </w:r>
    </w:p>
    <w:p>
      <w:pPr>
        <w:rPr>
          <w:rFonts w:ascii="方正仿宋_GBK" w:eastAsia="方正仿宋_GBK"/>
          <w:sz w:val="32"/>
          <w:szCs w:val="32"/>
        </w:rPr>
      </w:pPr>
      <w:r>
        <w:rPr>
          <w:rFonts w:hint="eastAsia" w:ascii="方正仿宋_GBK" w:eastAsia="方正仿宋_GBK"/>
          <w:sz w:val="32"/>
          <w:szCs w:val="32"/>
        </w:rPr>
        <w:t>法定代表人/授权代表（签字）：</w:t>
      </w:r>
    </w:p>
    <w:p>
      <w:pPr>
        <w:rPr>
          <w:rFonts w:ascii="方正仿宋_GBK" w:eastAsia="方正仿宋_GBK"/>
          <w:sz w:val="32"/>
          <w:szCs w:val="32"/>
        </w:rPr>
      </w:pPr>
      <w:r>
        <w:rPr>
          <w:rFonts w:hint="eastAsia" w:ascii="方正仿宋_GBK" w:eastAsia="方正仿宋_GBK"/>
          <w:sz w:val="32"/>
          <w:szCs w:val="32"/>
        </w:rPr>
        <w:t>日期：____年__月__日</w:t>
      </w:r>
    </w:p>
    <w:p>
      <w:pPr>
        <w:rPr>
          <w:rFonts w:ascii="方正仿宋_GBK" w:eastAsia="方正仿宋_GBK"/>
          <w:sz w:val="32"/>
          <w:szCs w:val="32"/>
        </w:rPr>
      </w:pPr>
      <w:r>
        <w:rPr>
          <w:rFonts w:hint="eastAsia" w:ascii="方正仿宋_GBK" w:eastAsia="方正仿宋_GBK"/>
          <w:sz w:val="32"/>
          <w:szCs w:val="32"/>
        </w:rPr>
        <w:t xml:space="preserve"> </w:t>
      </w:r>
    </w:p>
    <w:p>
      <w:pPr>
        <w:rPr>
          <w:rFonts w:ascii="方正仿宋_GBK" w:eastAsia="方正仿宋_GBK"/>
          <w:sz w:val="32"/>
          <w:szCs w:val="32"/>
        </w:rPr>
      </w:pPr>
      <w:r>
        <w:rPr>
          <w:rFonts w:hint="eastAsia" w:ascii="方正仿宋_GBK" w:eastAsia="方正仿宋_GBK"/>
          <w:sz w:val="32"/>
          <w:szCs w:val="32"/>
        </w:rPr>
        <w:t>供应商（乙方）（盖章）：</w:t>
      </w:r>
    </w:p>
    <w:p>
      <w:pPr>
        <w:rPr>
          <w:rFonts w:ascii="方正仿宋_GBK" w:eastAsia="方正仿宋_GBK"/>
          <w:sz w:val="32"/>
          <w:szCs w:val="32"/>
        </w:rPr>
      </w:pPr>
      <w:r>
        <w:rPr>
          <w:rFonts w:hint="eastAsia" w:ascii="方正仿宋_GBK" w:eastAsia="方正仿宋_GBK"/>
          <w:sz w:val="32"/>
          <w:szCs w:val="32"/>
        </w:rPr>
        <w:t>法定代表人/授权代表（签字）：</w:t>
      </w:r>
    </w:p>
    <w:p>
      <w:pPr>
        <w:rPr>
          <w:rFonts w:ascii="方正仿宋_GBK" w:eastAsia="方正仿宋_GBK"/>
          <w:sz w:val="32"/>
          <w:szCs w:val="32"/>
        </w:rPr>
      </w:pPr>
      <w:r>
        <w:rPr>
          <w:rFonts w:hint="eastAsia" w:ascii="方正仿宋_GBK" w:eastAsia="方正仿宋_GBK"/>
          <w:sz w:val="32"/>
          <w:szCs w:val="32"/>
        </w:rPr>
        <w:t>日期：____年__月__日</w:t>
      </w:r>
    </w:p>
    <w:p>
      <w:pPr>
        <w:rPr>
          <w:rFonts w:ascii="方正仿宋_GBK" w:eastAsia="方正仿宋_GBK"/>
          <w:sz w:val="32"/>
          <w:szCs w:val="32"/>
        </w:rPr>
      </w:pPr>
      <w:r>
        <w:rPr>
          <w:rFonts w:hint="eastAsia" w:ascii="方正仿宋_GBK" w:eastAsia="方正仿宋_GBK"/>
          <w:sz w:val="32"/>
          <w:szCs w:val="32"/>
        </w:rPr>
        <w:t xml:space="preserve"> </w:t>
      </w:r>
    </w:p>
    <w:p>
      <w:pPr>
        <w:rPr>
          <w:rFonts w:ascii="方正仿宋_GBK" w:eastAsia="方正仿宋_GBK"/>
          <w:sz w:val="32"/>
          <w:szCs w:val="32"/>
        </w:rPr>
      </w:pPr>
      <w:r>
        <w:rPr>
          <w:rFonts w:hint="eastAsia" w:ascii="方正仿宋_GBK" w:eastAsia="方正仿宋_GBK"/>
          <w:sz w:val="32"/>
          <w:szCs w:val="32"/>
        </w:rPr>
        <w:t> </w:t>
      </w:r>
    </w:p>
    <w:p>
      <w:pPr>
        <w:rPr>
          <w:rFonts w:ascii="方正仿宋_GBK" w:eastAsia="方正仿宋_GBK"/>
          <w:sz w:val="32"/>
          <w:szCs w:val="32"/>
        </w:rPr>
      </w:pPr>
      <w:r>
        <w:rPr>
          <w:rFonts w:hint="eastAsia" w:ascii="方正仿宋_GBK" w:eastAsia="方正仿宋_GBK"/>
          <w:sz w:val="32"/>
          <w:szCs w:val="32"/>
        </w:rPr>
        <w:t xml:space="preserve"> </w:t>
      </w:r>
    </w:p>
    <w:p>
      <w:pPr>
        <w:rPr>
          <w:rFonts w:ascii="方正仿宋_GBK" w:eastAsia="方正仿宋_GBK"/>
          <w:sz w:val="32"/>
          <w:szCs w:val="32"/>
        </w:rPr>
      </w:pPr>
      <w:r>
        <w:rPr>
          <w:rFonts w:hint="eastAsia" w:ascii="方正仿宋_GBK" w:eastAsia="方正仿宋_GBK"/>
          <w:sz w:val="32"/>
          <w:szCs w:val="32"/>
        </w:rPr>
        <w:t>附件1：维保服务设备清单（8台）及单台年度维保费用明细表</w:t>
      </w:r>
    </w:p>
    <w:p>
      <w:pPr>
        <w:pStyle w:val="428"/>
        <w:widowControl/>
        <w:spacing w:line="360" w:lineRule="auto"/>
        <w:rPr>
          <w:rFonts w:ascii="宋体" w:hAnsi="宋体"/>
          <w:b/>
          <w:bCs/>
          <w:sz w:val="24"/>
        </w:rPr>
      </w:pPr>
      <w:r>
        <w:rPr>
          <w:rFonts w:hint="eastAsia" w:ascii="方正仿宋_GBK" w:eastAsia="方正仿宋_GBK"/>
          <w:sz w:val="32"/>
          <w:szCs w:val="32"/>
        </w:rPr>
        <w:t>附件2：维保服务中的维修用消耗品清单</w:t>
      </w:r>
      <w:r>
        <w:rPr>
          <w:rFonts w:ascii="方正仿宋_GBK" w:eastAsia="方正仿宋_GBK"/>
          <w:sz w:val="32"/>
          <w:szCs w:val="32"/>
        </w:rPr>
        <w:br w:type="page"/>
      </w:r>
      <w:r>
        <w:rPr>
          <w:rFonts w:hint="eastAsia" w:ascii="宋体" w:hAnsi="宋体"/>
          <w:b/>
          <w:bCs/>
          <w:sz w:val="24"/>
        </w:rPr>
        <w:t>附件 1 ：</w:t>
      </w:r>
      <w:r>
        <w:rPr>
          <w:rFonts w:hint="eastAsia" w:ascii="方正仿宋_GBK" w:eastAsia="方正仿宋_GBK"/>
          <w:sz w:val="32"/>
          <w:szCs w:val="32"/>
        </w:rPr>
        <w:t>维保服务设备清单（8台）及单台年度维保费用明细表</w:t>
      </w:r>
    </w:p>
    <w:tbl>
      <w:tblPr>
        <w:tblStyle w:val="30"/>
        <w:tblW w:w="8359" w:type="dxa"/>
        <w:tblInd w:w="113" w:type="dxa"/>
        <w:tblLayout w:type="fixed"/>
        <w:tblCellMar>
          <w:top w:w="0" w:type="dxa"/>
          <w:left w:w="108" w:type="dxa"/>
          <w:bottom w:w="0" w:type="dxa"/>
          <w:right w:w="108" w:type="dxa"/>
        </w:tblCellMar>
      </w:tblPr>
      <w:tblGrid>
        <w:gridCol w:w="459"/>
        <w:gridCol w:w="1663"/>
        <w:gridCol w:w="1559"/>
        <w:gridCol w:w="1843"/>
        <w:gridCol w:w="1701"/>
        <w:gridCol w:w="1134"/>
      </w:tblGrid>
      <w:tr>
        <w:tblPrEx>
          <w:tblCellMar>
            <w:top w:w="0" w:type="dxa"/>
            <w:left w:w="108" w:type="dxa"/>
            <w:bottom w:w="0" w:type="dxa"/>
            <w:right w:w="108" w:type="dxa"/>
          </w:tblCellMar>
        </w:tblPrEx>
        <w:trPr>
          <w:trHeight w:val="702" w:hRule="atLeast"/>
        </w:trPr>
        <w:tc>
          <w:tcPr>
            <w:tcW w:w="4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szCs w:val="21"/>
              </w:rPr>
            </w:pPr>
            <w:r>
              <w:rPr>
                <w:rFonts w:hint="eastAsia" w:ascii="方正仿宋_GBK" w:hAnsi="宋体" w:eastAsia="方正仿宋_GBK" w:cs="宋体"/>
                <w:b/>
                <w:bCs/>
                <w:szCs w:val="21"/>
              </w:rPr>
              <w:t>序号</w:t>
            </w:r>
          </w:p>
        </w:tc>
        <w:tc>
          <w:tcPr>
            <w:tcW w:w="1663"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szCs w:val="21"/>
              </w:rPr>
            </w:pPr>
            <w:r>
              <w:rPr>
                <w:rFonts w:hint="eastAsia" w:ascii="方正仿宋_GBK" w:hAnsi="宋体" w:eastAsia="方正仿宋_GBK" w:cs="宋体"/>
                <w:b/>
                <w:bCs/>
                <w:szCs w:val="21"/>
              </w:rPr>
              <w:t>设备编号</w:t>
            </w:r>
          </w:p>
        </w:tc>
        <w:tc>
          <w:tcPr>
            <w:tcW w:w="1559"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b/>
                <w:bCs/>
              </w:rPr>
            </w:pPr>
            <w:r>
              <w:rPr>
                <w:rFonts w:hint="eastAsia"/>
                <w:b/>
                <w:bCs/>
              </w:rPr>
              <w:t>仪器型号</w:t>
            </w:r>
          </w:p>
        </w:tc>
        <w:tc>
          <w:tcPr>
            <w:tcW w:w="1843"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szCs w:val="21"/>
              </w:rPr>
            </w:pPr>
            <w:r>
              <w:rPr>
                <w:rFonts w:hint="eastAsia" w:ascii="方正仿宋_GBK" w:hAnsi="宋体" w:eastAsia="方正仿宋_GBK" w:cs="宋体"/>
                <w:b/>
                <w:bCs/>
                <w:szCs w:val="21"/>
              </w:rPr>
              <w:t>仪器序列号</w:t>
            </w:r>
          </w:p>
        </w:tc>
        <w:tc>
          <w:tcPr>
            <w:tcW w:w="170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szCs w:val="21"/>
              </w:rPr>
            </w:pPr>
            <w:r>
              <w:rPr>
                <w:rFonts w:hint="eastAsia" w:ascii="方正仿宋_GBK" w:hAnsi="宋体" w:eastAsia="方正仿宋_GBK" w:cs="宋体"/>
                <w:b/>
                <w:bCs/>
                <w:szCs w:val="21"/>
              </w:rPr>
              <w:t>设备名称</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b/>
                <w:bCs/>
                <w:szCs w:val="21"/>
              </w:rPr>
            </w:pPr>
            <w:r>
              <w:rPr>
                <w:rFonts w:hint="eastAsia" w:ascii="方正仿宋_GBK" w:hAnsi="宋体" w:eastAsia="方正仿宋_GBK" w:cs="宋体"/>
                <w:b/>
                <w:bCs/>
                <w:szCs w:val="21"/>
              </w:rPr>
              <w:t>维保价*（元）</w:t>
            </w:r>
          </w:p>
        </w:tc>
      </w:tr>
      <w:tr>
        <w:tblPrEx>
          <w:tblCellMar>
            <w:top w:w="0" w:type="dxa"/>
            <w:left w:w="108" w:type="dxa"/>
            <w:bottom w:w="0" w:type="dxa"/>
            <w:right w:w="108" w:type="dxa"/>
          </w:tblCellMar>
        </w:tblPrEx>
        <w:trPr>
          <w:trHeight w:val="70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1</w:t>
            </w:r>
          </w:p>
        </w:tc>
        <w:tc>
          <w:tcPr>
            <w:tcW w:w="1663"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rPr>
            </w:pPr>
            <w:r>
              <w:rPr>
                <w:rFonts w:hint="eastAsia"/>
              </w:rPr>
              <w:t>1060309200001</w:t>
            </w:r>
          </w:p>
        </w:tc>
        <w:tc>
          <w:tcPr>
            <w:tcW w:w="1559"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rPr>
            </w:pPr>
            <w:r>
              <w:rPr>
                <w:rFonts w:hint="eastAsia"/>
              </w:rPr>
              <w:t>ISQ TRACE 1300</w:t>
            </w:r>
          </w:p>
        </w:tc>
        <w:tc>
          <w:tcPr>
            <w:tcW w:w="1843"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rPr>
            </w:pPr>
            <w:r>
              <w:rPr>
                <w:rFonts w:hint="eastAsia"/>
              </w:rPr>
              <w:t xml:space="preserve"> ISQ1701565</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rPr>
            </w:pPr>
            <w:r>
              <w:rPr>
                <w:rFonts w:hint="eastAsia"/>
              </w:rPr>
              <w:t>质谱仪-气相质谱联用仪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p>
        </w:tc>
      </w:tr>
      <w:tr>
        <w:tblPrEx>
          <w:tblCellMar>
            <w:top w:w="0" w:type="dxa"/>
            <w:left w:w="108" w:type="dxa"/>
            <w:bottom w:w="0" w:type="dxa"/>
            <w:right w:w="108" w:type="dxa"/>
          </w:tblCellMar>
        </w:tblPrEx>
        <w:trPr>
          <w:trHeight w:val="70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2</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201444AT0007</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TRACE 1300 ISQ LT-Ultimate3000</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ISQ141118(气质）</w:t>
            </w:r>
            <w:r>
              <w:rPr>
                <w:rFonts w:hint="eastAsia"/>
              </w:rPr>
              <w:br w:type="textWrapping"/>
            </w:r>
            <w:r>
              <w:rPr>
                <w:rFonts w:hint="eastAsia"/>
              </w:rPr>
              <w:t>8093440（液相）</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在线GPC-GCMS分析系统（气相色谱质谱联用仪）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p>
        </w:tc>
      </w:tr>
      <w:tr>
        <w:tblPrEx>
          <w:tblCellMar>
            <w:top w:w="0" w:type="dxa"/>
            <w:left w:w="108" w:type="dxa"/>
            <w:bottom w:w="0" w:type="dxa"/>
            <w:right w:w="108" w:type="dxa"/>
          </w:tblCellMar>
        </w:tblPrEx>
        <w:trPr>
          <w:trHeight w:val="825"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3</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201344CF0057</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Delta V</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SN08852D</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同位素质谱仪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p>
        </w:tc>
      </w:tr>
      <w:tr>
        <w:tblPrEx>
          <w:tblCellMar>
            <w:top w:w="0" w:type="dxa"/>
            <w:left w:w="108" w:type="dxa"/>
            <w:bottom w:w="0" w:type="dxa"/>
            <w:right w:w="108" w:type="dxa"/>
          </w:tblCellMar>
        </w:tblPrEx>
        <w:trPr>
          <w:trHeight w:val="66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4</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201544CF0055</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Q-Exactive</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SN02357L</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液相色谱-飞行时间-串联四级杆质谱仪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p>
        </w:tc>
      </w:tr>
      <w:tr>
        <w:tblPrEx>
          <w:tblCellMar>
            <w:top w:w="0" w:type="dxa"/>
            <w:left w:w="108" w:type="dxa"/>
            <w:bottom w:w="0" w:type="dxa"/>
            <w:right w:w="108" w:type="dxa"/>
          </w:tblCellMar>
        </w:tblPrEx>
        <w:trPr>
          <w:trHeight w:val="900"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5</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201444AT0094</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Thermo TSQ Quantiva</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TQH-Q1-0243</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液相色谱-质谱联用仪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p>
        </w:tc>
      </w:tr>
      <w:tr>
        <w:tblPrEx>
          <w:tblCellMar>
            <w:top w:w="0" w:type="dxa"/>
            <w:left w:w="108" w:type="dxa"/>
            <w:bottom w:w="0" w:type="dxa"/>
            <w:right w:w="108" w:type="dxa"/>
          </w:tblCellMar>
        </w:tblPrEx>
        <w:trPr>
          <w:trHeight w:val="912"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6</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201444AT0048</w:t>
            </w:r>
          </w:p>
        </w:tc>
        <w:tc>
          <w:tcPr>
            <w:tcW w:w="1559" w:type="dxa"/>
            <w:tcBorders>
              <w:top w:val="nil"/>
              <w:left w:val="nil"/>
              <w:bottom w:val="single" w:color="auto" w:sz="4" w:space="0"/>
              <w:right w:val="single" w:color="auto" w:sz="4" w:space="0"/>
            </w:tcBorders>
            <w:shd w:val="clear" w:color="auto" w:fill="auto"/>
            <w:vAlign w:val="center"/>
          </w:tcPr>
          <w:p>
            <w:r>
              <w:rPr>
                <w:rFonts w:hint="eastAsia"/>
              </w:rPr>
              <w:t>TSQ 8000 EVO</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TSQ8140917</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气相色谱-质谱/质谱联用仪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szCs w:val="21"/>
              </w:rPr>
            </w:pPr>
          </w:p>
        </w:tc>
      </w:tr>
      <w:tr>
        <w:tblPrEx>
          <w:tblCellMar>
            <w:top w:w="0" w:type="dxa"/>
            <w:left w:w="108" w:type="dxa"/>
            <w:bottom w:w="0" w:type="dxa"/>
            <w:right w:w="108" w:type="dxa"/>
          </w:tblCellMar>
        </w:tblPrEx>
        <w:trPr>
          <w:trHeight w:val="854"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7</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201444AT0076</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ICS-5000</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14082743</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离子色谱仪</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szCs w:val="21"/>
              </w:rPr>
            </w:pPr>
          </w:p>
        </w:tc>
      </w:tr>
      <w:tr>
        <w:tblPrEx>
          <w:tblCellMar>
            <w:top w:w="0" w:type="dxa"/>
            <w:left w:w="108" w:type="dxa"/>
            <w:bottom w:w="0" w:type="dxa"/>
            <w:right w:w="108" w:type="dxa"/>
          </w:tblCellMar>
        </w:tblPrEx>
        <w:trPr>
          <w:trHeight w:val="555" w:hRule="atLeast"/>
        </w:trPr>
        <w:tc>
          <w:tcPr>
            <w:tcW w:w="459"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方正仿宋_GBK" w:hAnsi="宋体" w:eastAsia="方正仿宋_GBK" w:cs="宋体"/>
                <w:szCs w:val="21"/>
              </w:rPr>
            </w:pPr>
            <w:r>
              <w:rPr>
                <w:rFonts w:hint="eastAsia" w:ascii="方正仿宋_GBK" w:hAnsi="宋体" w:eastAsia="方正仿宋_GBK" w:cs="宋体"/>
                <w:szCs w:val="21"/>
              </w:rPr>
              <w:t>8</w:t>
            </w:r>
          </w:p>
        </w:tc>
        <w:tc>
          <w:tcPr>
            <w:tcW w:w="1663" w:type="dxa"/>
            <w:tcBorders>
              <w:top w:val="nil"/>
              <w:left w:val="nil"/>
              <w:bottom w:val="single" w:color="auto" w:sz="4" w:space="0"/>
              <w:right w:val="single" w:color="auto" w:sz="4" w:space="0"/>
            </w:tcBorders>
            <w:shd w:val="clear" w:color="000000" w:fill="FFFFFF"/>
            <w:vAlign w:val="center"/>
          </w:tcPr>
          <w:p>
            <w:r>
              <w:rPr>
                <w:rFonts w:hint="eastAsia"/>
              </w:rPr>
              <w:t>201444AT0070</w:t>
            </w:r>
          </w:p>
        </w:tc>
        <w:tc>
          <w:tcPr>
            <w:tcW w:w="1559" w:type="dxa"/>
            <w:tcBorders>
              <w:top w:val="nil"/>
              <w:left w:val="nil"/>
              <w:bottom w:val="single" w:color="auto" w:sz="4" w:space="0"/>
              <w:right w:val="single" w:color="auto" w:sz="4" w:space="0"/>
            </w:tcBorders>
            <w:shd w:val="clear" w:color="000000" w:fill="FFFFFF"/>
            <w:vAlign w:val="center"/>
          </w:tcPr>
          <w:p>
            <w:r>
              <w:rPr>
                <w:rFonts w:hint="eastAsia"/>
              </w:rPr>
              <w:t>ICAP Qc</w:t>
            </w:r>
          </w:p>
        </w:tc>
        <w:tc>
          <w:tcPr>
            <w:tcW w:w="1843" w:type="dxa"/>
            <w:tcBorders>
              <w:top w:val="nil"/>
              <w:left w:val="nil"/>
              <w:bottom w:val="single" w:color="auto" w:sz="4" w:space="0"/>
              <w:right w:val="single" w:color="auto" w:sz="4" w:space="0"/>
            </w:tcBorders>
            <w:shd w:val="clear" w:color="000000" w:fill="FFFFFF"/>
            <w:vAlign w:val="center"/>
          </w:tcPr>
          <w:p>
            <w:r>
              <w:rPr>
                <w:rFonts w:hint="eastAsia"/>
              </w:rPr>
              <w:t>SN03227R</w:t>
            </w:r>
          </w:p>
        </w:tc>
        <w:tc>
          <w:tcPr>
            <w:tcW w:w="1701" w:type="dxa"/>
            <w:tcBorders>
              <w:top w:val="nil"/>
              <w:left w:val="nil"/>
              <w:bottom w:val="single" w:color="auto" w:sz="4" w:space="0"/>
              <w:right w:val="single" w:color="auto" w:sz="4" w:space="0"/>
            </w:tcBorders>
            <w:shd w:val="clear" w:color="000000" w:fill="FFFFFF"/>
            <w:vAlign w:val="center"/>
          </w:tcPr>
          <w:p>
            <w:r>
              <w:rPr>
                <w:rFonts w:hint="eastAsia"/>
              </w:rPr>
              <w:t>电感耦合等离子质谱仪 ICAP Qc</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方正仿宋_GBK" w:hAnsi="宋体" w:eastAsia="方正仿宋_GBK"/>
                <w:szCs w:val="21"/>
              </w:rPr>
            </w:pPr>
          </w:p>
        </w:tc>
      </w:tr>
    </w:tbl>
    <w:p>
      <w:pPr>
        <w:spacing w:line="360" w:lineRule="auto"/>
        <w:jc w:val="left"/>
        <w:rPr>
          <w:rFonts w:ascii="楷体" w:hAnsi="楷体" w:eastAsia="楷体"/>
          <w:b/>
          <w:sz w:val="32"/>
          <w:szCs w:val="32"/>
        </w:rPr>
      </w:pPr>
      <w:r>
        <w:rPr>
          <w:rFonts w:hint="eastAsia" w:ascii="方正仿宋_GBK" w:hAnsi="宋体" w:eastAsia="方正仿宋_GBK"/>
          <w:szCs w:val="21"/>
        </w:rPr>
        <w:t>备注：维保价在签订合同时，由中标人列明具体对应价格。</w:t>
      </w:r>
    </w:p>
    <w:p>
      <w:pPr>
        <w:widowControl/>
        <w:jc w:val="left"/>
      </w:pPr>
      <w:r>
        <w:br w:type="page"/>
      </w:r>
    </w:p>
    <w:p>
      <w:pPr>
        <w:rPr>
          <w:rFonts w:ascii="方正仿宋_GBK" w:eastAsia="方正仿宋_GBK"/>
          <w:sz w:val="32"/>
          <w:szCs w:val="32"/>
        </w:rPr>
      </w:pPr>
      <w:r>
        <w:rPr>
          <w:rFonts w:hint="eastAsia" w:ascii="方正仿宋_GBK" w:eastAsia="方正仿宋_GBK"/>
          <w:sz w:val="32"/>
          <w:szCs w:val="32"/>
        </w:rPr>
        <w:t>附件2：维保服务中的维修用消耗品清单</w:t>
      </w:r>
    </w:p>
    <w:tbl>
      <w:tblPr>
        <w:tblStyle w:val="30"/>
        <w:tblW w:w="6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08" w:type="dxa"/>
          <w:bottom w:w="15" w:type="dxa"/>
          <w:right w:w="108" w:type="dxa"/>
        </w:tblCellMar>
      </w:tblPr>
      <w:tblGrid>
        <w:gridCol w:w="6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315" w:hRule="atLeast"/>
          <w:jc w:val="center"/>
        </w:trPr>
        <w:tc>
          <w:tcPr>
            <w:tcW w:w="6345" w:type="dxa"/>
            <w:noWrap/>
            <w:vAlign w:val="bottom"/>
          </w:tcPr>
          <w:p>
            <w:pPr>
              <w:widowControl/>
              <w:rPr>
                <w:rFonts w:eastAsia="等线" w:cs="宋体"/>
                <w:b/>
                <w:bCs/>
              </w:rPr>
            </w:pPr>
            <w:r>
              <w:rPr>
                <w:rFonts w:hint="eastAsia" w:ascii="宋体" w:hAnsi="宋体"/>
                <w:b/>
                <w:bCs/>
              </w:rPr>
              <w:t>ICPMS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机械泵油雾过滤器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机械泵油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截取锥垫圈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采样锥石墨垫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炬室门内垫圈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接口盘垫圈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循环水过滤器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扩散阀垫圈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空气过滤器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bottom"/>
          </w:tcPr>
          <w:p>
            <w:pPr>
              <w:widowControl/>
              <w:jc w:val="center"/>
              <w:rPr>
                <w:rFonts w:eastAsia="等线" w:cs="宋体"/>
                <w:sz w:val="22"/>
              </w:rPr>
            </w:pPr>
            <w:r>
              <w:rPr>
                <w:rFonts w:hint="eastAsia" w:eastAsia="等线" w:cs="宋体"/>
                <w:sz w:val="22"/>
              </w:rPr>
              <w:t>RF</w:t>
            </w:r>
            <w:r>
              <w:rPr>
                <w:rFonts w:ascii="微软雅黑" w:hAnsi="微软雅黑" w:eastAsia="微软雅黑" w:cs="宋体"/>
                <w:sz w:val="22"/>
              </w:rPr>
              <w:t>线圈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bottom"/>
          </w:tcPr>
          <w:p>
            <w:pPr>
              <w:widowControl/>
              <w:jc w:val="left"/>
              <w:rPr>
                <w:rFonts w:eastAsia="等线" w:cs="宋体"/>
                <w:sz w:val="22"/>
              </w:rPr>
            </w:pPr>
            <w:r>
              <w:rPr>
                <w:rFonts w:hint="eastAsia" w:ascii="宋体" w:hAnsi="宋体"/>
                <w:b/>
                <w:bCs/>
              </w:rPr>
              <w:t>液质联用仪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ascii="Courier New" w:hAnsi="Courier New" w:eastAsia="等线" w:cs="Courier New"/>
                <w:sz w:val="22"/>
              </w:rPr>
              <w:t>泵油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ascii="Courier New" w:hAnsi="Courier New" w:eastAsia="等线" w:cs="Courier New"/>
                <w:sz w:val="22"/>
              </w:rPr>
              <w:t>油雾过滤器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ascii="Courier New" w:hAnsi="Courier New" w:eastAsia="等线" w:cs="Courier New"/>
                <w:sz w:val="22"/>
              </w:rPr>
              <w:t>常规流速喷针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ascii="Courier New" w:hAnsi="Courier New" w:eastAsia="等线" w:cs="Courier New"/>
                <w:sz w:val="22"/>
              </w:rPr>
              <w:t>离子传输管密封圈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Calibri"/>
                <w:sz w:val="22"/>
              </w:rPr>
              <w:t>O</w:t>
            </w:r>
            <w:r>
              <w:rPr>
                <w:rFonts w:ascii="Courier New" w:hAnsi="Courier New" w:eastAsia="等线" w:cs="Courier New"/>
                <w:sz w:val="22"/>
              </w:rPr>
              <w:t>型圈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ascii="Courier New" w:hAnsi="Courier New" w:eastAsia="等线" w:cs="Courier New"/>
                <w:sz w:val="22"/>
              </w:rPr>
              <w:t>空气滤网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hint="eastAsia" w:ascii="Courier New" w:hAnsi="Courier New" w:eastAsia="等线" w:cs="Courier New"/>
                <w:sz w:val="22"/>
              </w:rPr>
              <w:t>校正液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bottom"/>
          </w:tcPr>
          <w:p>
            <w:pPr>
              <w:widowControl/>
              <w:jc w:val="left"/>
              <w:rPr>
                <w:rFonts w:eastAsia="等线" w:cs="宋体"/>
                <w:sz w:val="22"/>
              </w:rPr>
            </w:pPr>
            <w:r>
              <w:rPr>
                <w:rFonts w:hint="eastAsia" w:ascii="宋体" w:hAnsi="宋体"/>
                <w:b/>
                <w:bCs/>
              </w:rPr>
              <w:t>气质联用仪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进样口隔垫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分流平板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衬管密封圈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泵油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分流/不分流衬管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GC三重滤芯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自动进样器橡皮筋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油雾过滤器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打磨砂纸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收纳盒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2"/>
              </w:rPr>
            </w:pPr>
            <w:r>
              <w:rPr>
                <w:rFonts w:eastAsia="等线" w:cs="宋体"/>
                <w:sz w:val="20"/>
                <w:szCs w:val="20"/>
              </w:rPr>
              <w:t>手持式吸尘器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left"/>
              <w:rPr>
                <w:rFonts w:eastAsia="等线" w:cs="宋体"/>
                <w:sz w:val="20"/>
                <w:szCs w:val="20"/>
              </w:rPr>
            </w:pPr>
            <w:r>
              <w:rPr>
                <w:rFonts w:hint="eastAsia" w:ascii="宋体" w:hAnsi="宋体"/>
                <w:b/>
                <w:bCs/>
              </w:rPr>
              <w:t>离子色谱仪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后密封清洗密封圈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泵O型圈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支撑环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柱塞杆密封圈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入口单向阀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出口单向阀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后密封清洗蠕动泵管线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后密封清洗管线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270" w:hRule="atLeast"/>
          <w:jc w:val="center"/>
        </w:trPr>
        <w:tc>
          <w:tcPr>
            <w:tcW w:w="6345" w:type="dxa"/>
            <w:noWrap/>
            <w:vAlign w:val="center"/>
          </w:tcPr>
          <w:p>
            <w:pPr>
              <w:widowControl/>
              <w:jc w:val="center"/>
              <w:rPr>
                <w:rFonts w:eastAsia="等线" w:cs="宋体"/>
                <w:sz w:val="20"/>
                <w:szCs w:val="20"/>
              </w:rPr>
            </w:pPr>
            <w:r>
              <w:rPr>
                <w:rFonts w:hint="eastAsia" w:eastAsia="等线" w:cs="宋体"/>
                <w:sz w:val="20"/>
                <w:szCs w:val="20"/>
              </w:rPr>
              <w:t>排空阀密封圈</w:t>
            </w:r>
          </w:p>
        </w:tc>
      </w:tr>
    </w:tbl>
    <w:p>
      <w:pPr>
        <w:pStyle w:val="2"/>
      </w:pPr>
    </w:p>
    <w:p>
      <w:r>
        <w:br w:type="page"/>
      </w:r>
    </w:p>
    <w:p>
      <w:pPr>
        <w:spacing w:before="120" w:after="120"/>
        <w:jc w:val="left"/>
      </w:pPr>
    </w:p>
    <w:p>
      <w:pPr>
        <w:rPr>
          <w:rFonts w:ascii="宋体" w:cs="宋体"/>
          <w:b/>
          <w:sz w:val="48"/>
        </w:rPr>
      </w:pPr>
      <w:r>
        <w:rPr>
          <w:rFonts w:ascii="宋体" w:cs="宋体"/>
          <w:b/>
          <w:sz w:val="48"/>
        </w:rPr>
        <w:br w:type="page"/>
      </w:r>
    </w:p>
    <w:p>
      <w:pPr>
        <w:pStyle w:val="75"/>
        <w:jc w:val="center"/>
        <w:outlineLvl w:val="0"/>
        <w:rPr>
          <w:rFonts w:ascii="宋体" w:cs="宋体"/>
          <w:b/>
          <w:sz w:val="48"/>
        </w:rPr>
      </w:pPr>
      <w:bookmarkStart w:id="37" w:name="OLE_LINK1"/>
      <w:r>
        <w:rPr>
          <w:rFonts w:ascii="宋体" w:cs="宋体"/>
          <w:b/>
          <w:sz w:val="48"/>
        </w:rPr>
        <w:t>第四章 开标、评标和定标</w:t>
      </w:r>
      <w:bookmarkEnd w:id="37"/>
    </w:p>
    <w:p>
      <w:pPr>
        <w:pStyle w:val="19"/>
        <w:spacing w:beforeLines="0" w:line="360" w:lineRule="auto"/>
        <w:ind w:firstLine="482" w:firstLineChars="200"/>
        <w:rPr>
          <w:rFonts w:ascii="宋体"/>
          <w:szCs w:val="24"/>
        </w:rPr>
      </w:pPr>
      <w:r>
        <w:rPr>
          <w:rFonts w:hint="eastAsia" w:ascii="宋体"/>
          <w:szCs w:val="24"/>
        </w:rPr>
        <w:t>一、开标</w:t>
      </w:r>
    </w:p>
    <w:p>
      <w:pPr>
        <w:spacing w:line="360" w:lineRule="auto"/>
        <w:ind w:firstLine="480" w:firstLineChars="200"/>
        <w:rPr>
          <w:rFonts w:ascii="宋体"/>
          <w:szCs w:val="24"/>
        </w:rPr>
      </w:pPr>
      <w:r>
        <w:rPr>
          <w:rFonts w:hint="eastAsia" w:ascii="宋体"/>
          <w:szCs w:val="24"/>
        </w:rPr>
        <w:t>（一）开标程序</w:t>
      </w:r>
    </w:p>
    <w:p>
      <w:pPr>
        <w:pStyle w:val="25"/>
        <w:spacing w:before="75" w:after="75"/>
        <w:ind w:firstLine="420"/>
        <w:jc w:val="both"/>
        <w:rPr>
          <w:shd w:val="clear" w:color="auto" w:fill="FFFFFF"/>
        </w:rPr>
      </w:pPr>
      <w:r>
        <w:rPr>
          <w:rFonts w:hint="eastAsia"/>
          <w:shd w:val="clear" w:color="auto" w:fill="FFFFFF"/>
        </w:rPr>
        <w:t xml:space="preserve"> 代理工作人员按招标公告规定的时间进行开标，由采购人或者采购代理机构工作人员宣布投标人名称、解密情况，投标价格和招标文件规定的需要宣布的其他内容（以开标一览表要求为准）。</w:t>
      </w:r>
    </w:p>
    <w:p>
      <w:pPr>
        <w:pStyle w:val="25"/>
        <w:spacing w:before="75" w:after="75"/>
        <w:ind w:firstLine="420"/>
        <w:jc w:val="both"/>
        <w:rPr>
          <w:shd w:val="clear" w:color="auto" w:fill="FFFFFF"/>
        </w:rPr>
      </w:pPr>
      <w:r>
        <w:rPr>
          <w:rFonts w:hint="eastAsia"/>
          <w:shd w:val="clear" w:color="auto" w:fill="FFFFFF"/>
        </w:rPr>
        <w:t>投标人的法定代表人或其授权代表应当按照本招标公告载明的时间和模式等要求参加开标。在投标截止时间前30分钟，应当登录广州市政府采购中心采购综合管理平台开标大厅进行签到，并且填写授权代表的姓名与手机号码。若因签到时填写的授权代表信息有误而导致的不良后果，由供应商自行承担。</w:t>
      </w:r>
    </w:p>
    <w:p>
      <w:pPr>
        <w:pStyle w:val="25"/>
        <w:spacing w:before="75" w:after="75"/>
        <w:ind w:firstLine="420"/>
        <w:jc w:val="both"/>
      </w:pPr>
      <w:r>
        <w:rPr>
          <w:rFonts w:hint="eastAsia"/>
          <w:shd w:val="clear" w:color="auto" w:fill="FFFFFF"/>
        </w:rPr>
        <w:t xml:space="preserve"> 开标时，投标人应当使用编制本项目（采购包）电子投标文件时加密所用</w:t>
      </w:r>
      <w:r>
        <w:rPr>
          <w:rFonts w:hint="eastAsia"/>
        </w:rPr>
        <w:t>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各投标人在参加开标以前须自行对使用电脑的网络环境、驱动安装、客户端安装以及数字证书的有效性等进行检测，确保可以正常使用。</w:t>
      </w:r>
    </w:p>
    <w:p>
      <w:pPr>
        <w:pStyle w:val="25"/>
        <w:spacing w:before="75" w:after="75"/>
        <w:ind w:firstLine="420"/>
        <w:jc w:val="both"/>
      </w:pPr>
      <w:r>
        <w:rPr>
          <w:rFonts w:hint="eastAsia"/>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25"/>
        <w:spacing w:before="75" w:after="75" w:line="432" w:lineRule="auto"/>
        <w:ind w:firstLine="420"/>
      </w:pPr>
      <w:r>
        <w:rPr>
          <w:rFonts w:hint="eastAsia"/>
        </w:rPr>
        <w:t>（二）开标异议</w:t>
      </w:r>
    </w:p>
    <w:p>
      <w:pPr>
        <w:pStyle w:val="25"/>
        <w:spacing w:before="75" w:after="75"/>
        <w:ind w:firstLine="420"/>
        <w:jc w:val="both"/>
        <w:rPr>
          <w:shd w:val="clear" w:color="auto" w:fill="FFFFFF"/>
        </w:rPr>
      </w:pPr>
      <w:r>
        <w:rPr>
          <w:rFonts w:hint="eastAsia"/>
          <w:shd w:val="clear" w:color="auto" w:fill="FFFFFF"/>
        </w:rPr>
        <w:t>投标人代表对开标过程和开标记录有疑义，以及认为采购人、采购代理机构相关工作人员有需要回避的情形的，应当场提出询问或者回避申请。投标人未参加开标的，视同认可开标结果。</w:t>
      </w:r>
    </w:p>
    <w:p>
      <w:pPr>
        <w:pStyle w:val="25"/>
        <w:spacing w:before="75" w:after="75" w:line="432" w:lineRule="auto"/>
        <w:ind w:firstLine="420"/>
      </w:pPr>
      <w:r>
        <w:rPr>
          <w:rFonts w:hint="eastAsia"/>
        </w:rPr>
        <w:t>（三）开标时出现下列情况的，视为投标无效处理：</w:t>
      </w:r>
    </w:p>
    <w:p>
      <w:pPr>
        <w:pStyle w:val="25"/>
        <w:spacing w:before="75" w:after="75"/>
        <w:ind w:firstLine="420"/>
        <w:jc w:val="both"/>
        <w:rPr>
          <w:shd w:val="clear" w:color="auto" w:fill="FFFFFF"/>
        </w:rPr>
      </w:pPr>
      <w:r>
        <w:rPr>
          <w:rFonts w:hint="eastAsia"/>
          <w:shd w:val="clear" w:color="auto" w:fill="FFFFFF"/>
        </w:rPr>
        <w:t>1.经检查数字证书无效的；</w:t>
      </w:r>
    </w:p>
    <w:p>
      <w:pPr>
        <w:pStyle w:val="25"/>
        <w:spacing w:before="75" w:after="75"/>
        <w:ind w:firstLine="420"/>
        <w:jc w:val="both"/>
        <w:rPr>
          <w:shd w:val="clear" w:color="auto" w:fill="FFFFFF"/>
        </w:rPr>
      </w:pPr>
      <w:r>
        <w:rPr>
          <w:rFonts w:hint="eastAsia"/>
          <w:shd w:val="clear" w:color="auto" w:fill="FFFFFF"/>
        </w:rPr>
        <w:t>2.因投标人自身原因，未在规定时间内完成电子投标文件解密的；</w:t>
      </w:r>
    </w:p>
    <w:p>
      <w:pPr>
        <w:pStyle w:val="25"/>
        <w:spacing w:before="75" w:after="75"/>
        <w:ind w:firstLine="420"/>
        <w:jc w:val="both"/>
        <w:rPr>
          <w:shd w:val="clear" w:color="auto" w:fill="FFFFFF"/>
        </w:rPr>
      </w:pPr>
      <w:r>
        <w:rPr>
          <w:rFonts w:hint="eastAsia"/>
          <w:shd w:val="clear" w:color="auto" w:fill="FFFFFF"/>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25"/>
        <w:spacing w:before="75" w:after="75" w:line="432" w:lineRule="auto"/>
        <w:ind w:firstLine="420"/>
        <w:outlineLvl w:val="1"/>
        <w:rPr>
          <w:b/>
          <w:bCs/>
        </w:rPr>
      </w:pPr>
      <w:r>
        <w:rPr>
          <w:rFonts w:hint="eastAsia"/>
          <w:b/>
          <w:bCs/>
        </w:rPr>
        <w:t>二、评标委员会</w:t>
      </w:r>
    </w:p>
    <w:p>
      <w:pPr>
        <w:pStyle w:val="25"/>
        <w:spacing w:before="75" w:after="75"/>
        <w:ind w:firstLine="420"/>
        <w:jc w:val="both"/>
        <w:rPr>
          <w:shd w:val="clear" w:color="auto" w:fill="FFFFFF"/>
        </w:rPr>
      </w:pPr>
      <w:r>
        <w:rPr>
          <w:rFonts w:hint="eastAsia"/>
          <w:shd w:val="clear" w:color="auto" w:fill="FFFFFF"/>
        </w:rPr>
        <w:t>（一）本次招标依法组建评标委员会。评标委员会由采购人的代表和从政府采购专家库随机抽取的专家组成，如采购人不派代表参加评审，则评标委员会全部由从政府采购专家库随机抽取的专家组成。评标委员会将本着公平、公正、科学、择优的原则，严格按照法律法规和招标文件设定的程序和规则推荐评审结果，任何单位和个人不得非法干预或者影响评标过程和结果。</w:t>
      </w:r>
    </w:p>
    <w:p>
      <w:pPr>
        <w:pStyle w:val="25"/>
        <w:spacing w:before="75" w:after="75"/>
        <w:ind w:firstLine="420"/>
        <w:jc w:val="both"/>
        <w:rPr>
          <w:shd w:val="clear" w:color="auto" w:fill="FFFFFF"/>
        </w:rPr>
      </w:pPr>
      <w:r>
        <w:rPr>
          <w:rFonts w:hint="eastAsia"/>
          <w:shd w:val="clear" w:color="auto" w:fill="FFFFFF"/>
        </w:rPr>
        <w:t>（二）评标委员会成员发现本人与参加采购活动的供应商有利害关系之一的，应当主动提出回避。采购人或者采购代理机构发现评标委员会成员与参加采购活动的供应商利害关系之一的，应当要求其回避：</w:t>
      </w:r>
    </w:p>
    <w:p>
      <w:pPr>
        <w:pStyle w:val="25"/>
        <w:spacing w:before="75" w:after="75"/>
        <w:ind w:firstLine="420"/>
        <w:jc w:val="both"/>
        <w:rPr>
          <w:shd w:val="clear" w:color="auto" w:fill="FFFFFF"/>
        </w:rPr>
      </w:pPr>
      <w:r>
        <w:rPr>
          <w:rFonts w:hint="eastAsia"/>
          <w:shd w:val="clear" w:color="auto" w:fill="FFFFFF"/>
        </w:rPr>
        <w:t>1．参加采购活动前三年内，与供应商存在劳动关系，或者担任过供应商的董事、监事，或者是供应商的控股股东或实际控制人；</w:t>
      </w:r>
    </w:p>
    <w:p>
      <w:pPr>
        <w:pStyle w:val="25"/>
        <w:spacing w:before="75" w:after="75"/>
        <w:ind w:firstLine="420"/>
        <w:jc w:val="both"/>
        <w:rPr>
          <w:shd w:val="clear" w:color="auto" w:fill="FFFFFF"/>
        </w:rPr>
      </w:pPr>
      <w:r>
        <w:rPr>
          <w:rFonts w:hint="eastAsia"/>
          <w:shd w:val="clear" w:color="auto" w:fill="FFFFFF"/>
        </w:rPr>
        <w:t>2．与供应商的法定代表人或者负责人有夫妻、直系血亲、三代以内旁系血亲或者近姻亲关系；</w:t>
      </w:r>
    </w:p>
    <w:p>
      <w:pPr>
        <w:pStyle w:val="25"/>
        <w:spacing w:before="75" w:after="75"/>
        <w:ind w:firstLine="420"/>
        <w:jc w:val="both"/>
        <w:rPr>
          <w:shd w:val="clear" w:color="auto" w:fill="FFFFFF"/>
        </w:rPr>
      </w:pPr>
      <w:r>
        <w:rPr>
          <w:rFonts w:hint="eastAsia"/>
          <w:shd w:val="clear" w:color="auto" w:fill="FFFFFF"/>
        </w:rPr>
        <w:t>3．任职单位与采购人或参加该采购项目供应商存在行政隶属关系；</w:t>
      </w:r>
    </w:p>
    <w:p>
      <w:pPr>
        <w:pStyle w:val="25"/>
        <w:spacing w:before="75" w:after="75"/>
        <w:ind w:firstLine="420"/>
        <w:jc w:val="both"/>
        <w:rPr>
          <w:shd w:val="clear" w:color="auto" w:fill="FFFFFF"/>
        </w:rPr>
      </w:pPr>
      <w:r>
        <w:rPr>
          <w:rFonts w:hint="eastAsia"/>
          <w:shd w:val="clear" w:color="auto" w:fill="FFFFFF"/>
        </w:rPr>
        <w:t>4．曾经参加过该采购项目的进口产品的论证和咨询服务工作；</w:t>
      </w:r>
    </w:p>
    <w:p>
      <w:pPr>
        <w:pStyle w:val="25"/>
        <w:spacing w:before="75" w:after="75"/>
        <w:ind w:firstLine="420"/>
        <w:jc w:val="both"/>
        <w:rPr>
          <w:shd w:val="clear" w:color="auto" w:fill="FFFFFF"/>
        </w:rPr>
      </w:pPr>
      <w:r>
        <w:rPr>
          <w:rFonts w:hint="eastAsia"/>
          <w:shd w:val="clear" w:color="auto" w:fill="FFFFFF"/>
        </w:rPr>
        <w:t>5．是参加该采购项目供应商的上级主管部门、控股或参股单位的工作人员，或与该供应商存在其他经济利益关系；</w:t>
      </w:r>
    </w:p>
    <w:p>
      <w:pPr>
        <w:pStyle w:val="25"/>
        <w:spacing w:before="75" w:after="75"/>
        <w:ind w:firstLine="420"/>
        <w:jc w:val="both"/>
        <w:rPr>
          <w:shd w:val="clear" w:color="auto" w:fill="FFFFFF"/>
        </w:rPr>
      </w:pPr>
      <w:r>
        <w:rPr>
          <w:rFonts w:hint="eastAsia"/>
          <w:shd w:val="clear" w:color="auto" w:fill="FFFFFF"/>
        </w:rPr>
        <w:t>6．评标委员会成员之间具有配偶、近亲属关系；</w:t>
      </w:r>
    </w:p>
    <w:p>
      <w:pPr>
        <w:pStyle w:val="25"/>
        <w:spacing w:before="75" w:after="75"/>
        <w:ind w:firstLine="420"/>
        <w:jc w:val="both"/>
        <w:rPr>
          <w:shd w:val="clear" w:color="auto" w:fill="FFFFFF"/>
        </w:rPr>
      </w:pPr>
      <w:r>
        <w:rPr>
          <w:rFonts w:hint="eastAsia"/>
          <w:shd w:val="clear" w:color="auto" w:fill="FFFFFF"/>
        </w:rPr>
        <w:t>7．法律、法规、规章规定应当回避以及其他可能影响政府采购活动公平、公正进行的关系。</w:t>
      </w:r>
    </w:p>
    <w:p>
      <w:pPr>
        <w:pStyle w:val="25"/>
        <w:spacing w:before="75" w:after="75" w:line="432" w:lineRule="auto"/>
        <w:ind w:firstLine="420"/>
      </w:pPr>
      <w:r>
        <w:rPr>
          <w:rFonts w:hint="eastAsia"/>
        </w:rPr>
        <w:t>（三）评标应遵守下列评标纪律：</w:t>
      </w:r>
    </w:p>
    <w:p>
      <w:pPr>
        <w:pStyle w:val="25"/>
        <w:spacing w:before="75" w:after="75"/>
        <w:ind w:firstLine="420"/>
        <w:jc w:val="both"/>
        <w:rPr>
          <w:shd w:val="clear" w:color="auto" w:fill="FFFFFF"/>
        </w:rPr>
      </w:pPr>
      <w:r>
        <w:rPr>
          <w:rFonts w:hint="eastAsia"/>
          <w:shd w:val="clear" w:color="auto" w:fill="FFFFFF"/>
        </w:rPr>
        <w:t>1.评标情况不得私自外泄，有关信息由广州市政府采购中心统一对外发布。</w:t>
      </w:r>
    </w:p>
    <w:p>
      <w:pPr>
        <w:pStyle w:val="25"/>
        <w:spacing w:before="75" w:after="75"/>
        <w:ind w:firstLine="420"/>
        <w:jc w:val="both"/>
        <w:rPr>
          <w:shd w:val="clear" w:color="auto" w:fill="FFFFFF"/>
        </w:rPr>
      </w:pPr>
      <w:r>
        <w:rPr>
          <w:rFonts w:hint="eastAsia"/>
          <w:shd w:val="clear" w:color="auto" w:fill="FFFFFF"/>
        </w:rPr>
        <w:t>2.对广州市政府采购中心或投标人提供的要求保密的资料，不得摘记翻印和外传。</w:t>
      </w:r>
    </w:p>
    <w:p>
      <w:pPr>
        <w:pStyle w:val="25"/>
        <w:spacing w:before="75" w:after="75"/>
        <w:ind w:firstLine="420"/>
        <w:jc w:val="both"/>
        <w:rPr>
          <w:shd w:val="clear" w:color="auto" w:fill="FFFFFF"/>
        </w:rPr>
      </w:pPr>
      <w:r>
        <w:rPr>
          <w:rFonts w:hint="eastAsia"/>
          <w:shd w:val="clear" w:color="auto" w:fill="FFFFFF"/>
        </w:rPr>
        <w:t>3.不得收受投标供应商或有关人员的任何礼物，不得串联鼓动其他人袒护某投标人。若与投标人存在利害关系，则应主动声明并回避。</w:t>
      </w:r>
    </w:p>
    <w:p>
      <w:pPr>
        <w:pStyle w:val="25"/>
        <w:spacing w:before="75" w:after="75"/>
        <w:ind w:firstLine="420"/>
        <w:jc w:val="both"/>
        <w:rPr>
          <w:shd w:val="clear" w:color="auto" w:fill="FFFFFF"/>
        </w:rPr>
      </w:pPr>
      <w:r>
        <w:rPr>
          <w:rFonts w:hint="eastAsia"/>
          <w:shd w:val="clear" w:color="auto" w:fill="FFFFFF"/>
        </w:rPr>
        <w:t>4.全体评委应按照招标文件规定进行评标，一切认定事项应查有实据且不得弄虚作假。</w:t>
      </w:r>
    </w:p>
    <w:p>
      <w:pPr>
        <w:pStyle w:val="25"/>
        <w:spacing w:before="75" w:after="75"/>
        <w:ind w:firstLine="420"/>
        <w:jc w:val="both"/>
        <w:rPr>
          <w:shd w:val="clear" w:color="auto" w:fill="FFFFFF"/>
        </w:rPr>
      </w:pPr>
      <w:r>
        <w:rPr>
          <w:rFonts w:hint="eastAsia"/>
          <w:shd w:val="clear" w:color="auto" w:fill="FFFFFF"/>
        </w:rPr>
        <w:t>5.评标委员会各成员应当独立对每个投标人的投标文件进行评价，并对评价意见承担个</w:t>
      </w:r>
      <w:r>
        <w:rPr>
          <w:rFonts w:hint="eastAsia"/>
        </w:rPr>
        <w:t>人</w:t>
      </w:r>
      <w:r>
        <w:rPr>
          <w:rFonts w:hint="eastAsia"/>
          <w:shd w:val="clear" w:color="auto" w:fill="FFFFFF"/>
        </w:rPr>
        <w:t>责任。评审过程中，不得发表倾向性言论。</w:t>
      </w:r>
    </w:p>
    <w:p>
      <w:pPr>
        <w:pStyle w:val="25"/>
        <w:spacing w:before="75" w:after="75"/>
        <w:ind w:firstLine="420"/>
        <w:jc w:val="both"/>
        <w:rPr>
          <w:shd w:val="clear" w:color="auto" w:fill="FFFFFF"/>
        </w:rPr>
      </w:pPr>
      <w:r>
        <w:rPr>
          <w:rFonts w:hint="eastAsia"/>
          <w:shd w:val="clear" w:color="auto" w:fill="FFFFFF"/>
        </w:rPr>
        <w:t>※对违反评标纪律的评委，将取消其评委资格，对评标工作造成严重损失者将予以通报批评乃至追究法律责任。</w:t>
      </w:r>
    </w:p>
    <w:p>
      <w:pPr>
        <w:pStyle w:val="25"/>
        <w:spacing w:before="75" w:after="75"/>
        <w:ind w:firstLine="420"/>
        <w:jc w:val="both"/>
        <w:rPr>
          <w:shd w:val="clear" w:color="auto" w:fill="FFFFFF"/>
        </w:rPr>
      </w:pPr>
      <w:r>
        <w:rPr>
          <w:rFonts w:hint="eastAsia"/>
          <w:shd w:val="clear" w:color="auto" w:fill="FFFFFF"/>
        </w:rPr>
        <w:t>（四）评标委员会判断投标文件的有效性、合格性和响应情况，仅依据投标人所提交一切文件的真实表述，不受与本项目无直接关联的外部信息、传言而影响自身的专业判断。</w:t>
      </w:r>
    </w:p>
    <w:p>
      <w:pPr>
        <w:pStyle w:val="25"/>
        <w:spacing w:before="75" w:after="75"/>
        <w:ind w:firstLine="420"/>
        <w:jc w:val="both"/>
        <w:rPr>
          <w:shd w:val="clear" w:color="auto" w:fill="FFFFFF"/>
        </w:rPr>
        <w:sectPr>
          <w:pgSz w:w="11906" w:h="16838"/>
          <w:pgMar w:top="1440" w:right="1080" w:bottom="1440" w:left="1080" w:header="851" w:footer="992" w:gutter="0"/>
          <w:cols w:space="720" w:num="1"/>
          <w:docGrid w:type="lines" w:linePitch="326" w:charSpace="0"/>
        </w:sectPr>
      </w:pPr>
      <w:r>
        <w:rPr>
          <w:rFonts w:hint="eastAsia"/>
          <w:shd w:val="clear" w:color="auto" w:fill="FFFFFF"/>
        </w:rPr>
        <w:t>（五）评标委员会各成员应当独立对每个投标人的投标文件进行评价，并对评价意见承担个人责任。评标委员会成员对需要共同认定的事项存在争议的，应当按照少数服从多数的原则作出结论。持不同意见的评标委员会成员应当在评标报告上签署不同意见及理由，否则视为同意评标报告。</w:t>
      </w:r>
    </w:p>
    <w:p>
      <w:pPr>
        <w:pStyle w:val="19"/>
        <w:spacing w:before="326" w:beforeLines="0" w:line="360" w:lineRule="auto"/>
        <w:ind w:firstLine="482" w:firstLineChars="200"/>
        <w:rPr>
          <w:rFonts w:ascii="宋体"/>
          <w:color w:val="000000" w:themeColor="text1"/>
          <w:szCs w:val="24"/>
          <w14:textFill>
            <w14:solidFill>
              <w14:schemeClr w14:val="tx1"/>
            </w14:solidFill>
          </w14:textFill>
        </w:rPr>
      </w:pPr>
      <w:r>
        <w:rPr>
          <w:rFonts w:hint="eastAsia" w:ascii="宋体"/>
          <w:color w:val="000000" w:themeColor="text1"/>
          <w:szCs w:val="24"/>
          <w14:textFill>
            <w14:solidFill>
              <w14:schemeClr w14:val="tx1"/>
            </w14:solidFill>
          </w14:textFill>
        </w:rPr>
        <w:t>三、项目兼投兼中规则</w:t>
      </w:r>
    </w:p>
    <w:p>
      <w:pPr>
        <w:pStyle w:val="25"/>
        <w:spacing w:after="300"/>
        <w:ind w:firstLine="480" w:firstLineChars="200"/>
        <w:rPr>
          <w:rStyle w:val="33"/>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本项目兼投不兼中：</w:t>
      </w:r>
      <w:r>
        <w:rPr>
          <w:rFonts w:hint="eastAsia" w:cs="Times New Roman"/>
        </w:rPr>
        <w:t>由于本项目为废标后重启项目（兼投不兼中），原本项目各个采购包的中标人安捷伦科技（中国）有限公司/上海隐智科学仪器有限公司/大连天亿技术服务有限公司若参与本采购包投标，将不通过符合性审查。</w:t>
      </w:r>
    </w:p>
    <w:p>
      <w:pPr>
        <w:pStyle w:val="19"/>
        <w:spacing w:before="326" w:beforeLines="0" w:line="360" w:lineRule="auto"/>
        <w:ind w:firstLine="482" w:firstLineChars="200"/>
        <w:rPr>
          <w:rFonts w:ascii="宋体"/>
          <w:color w:val="000000" w:themeColor="text1"/>
          <w:szCs w:val="24"/>
          <w14:textFill>
            <w14:solidFill>
              <w14:schemeClr w14:val="tx1"/>
            </w14:solidFill>
          </w14:textFill>
        </w:rPr>
      </w:pPr>
      <w:r>
        <w:rPr>
          <w:rFonts w:hint="eastAsia" w:ascii="宋体"/>
          <w:color w:val="000000" w:themeColor="text1"/>
          <w:szCs w:val="24"/>
          <w14:textFill>
            <w14:solidFill>
              <w14:schemeClr w14:val="tx1"/>
            </w14:solidFill>
          </w14:textFill>
        </w:rPr>
        <w:t>四、评标方法</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（一）本次评标采用综合评分法。每个采购包独立评标。 评标以招标文件规定的条件为依据。评分比重构成如下：</w:t>
      </w:r>
    </w:p>
    <w:tbl>
      <w:tblPr>
        <w:tblStyle w:val="30"/>
        <w:tblW w:w="833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4387"/>
        <w:gridCol w:w="394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4387"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jc w:val="center"/>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评分项目</w:t>
            </w:r>
          </w:p>
        </w:tc>
        <w:tc>
          <w:tcPr>
            <w:tcW w:w="3949"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分值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387"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技术评分</w:t>
            </w:r>
          </w:p>
        </w:tc>
        <w:tc>
          <w:tcPr>
            <w:tcW w:w="3949"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60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4387"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商务评分</w:t>
            </w:r>
          </w:p>
        </w:tc>
        <w:tc>
          <w:tcPr>
            <w:tcW w:w="3949"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20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4387"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价格评分</w:t>
            </w:r>
          </w:p>
        </w:tc>
        <w:tc>
          <w:tcPr>
            <w:tcW w:w="3949"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20</w:t>
            </w:r>
          </w:p>
        </w:tc>
      </w:tr>
    </w:tbl>
    <w:p>
      <w:pPr>
        <w:pStyle w:val="25"/>
        <w:ind w:firstLine="480"/>
        <w:rPr>
          <w:color w:val="000000" w:themeColor="text1"/>
          <w14:textFill>
            <w14:solidFill>
              <w14:schemeClr w14:val="tx1"/>
            </w14:solidFill>
          </w14:textFill>
        </w:rPr>
      </w:pPr>
    </w:p>
    <w:p>
      <w:pPr>
        <w:pStyle w:val="25"/>
        <w:spacing w:before="75" w:after="75" w:line="432"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（二）投标文件差异修正原则</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投标文件报价出现前后不一致的，按照下列规定修正：</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1．投标文件中开标一览表（报价表）内容与投标文件中相应内容不一致的，以开标一览表（报价表）为准；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2．大写金额和小写金额不一致的，以大写金额为准；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3．单价金额小数点或者百分比有明显错位的，以开标一览表的总价为准，并修改单价；</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4．总价金额与按单价汇总金额不一致的，以单价金额计算结果为准；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5.若投标客户端上传的电子报价数据与电子投标文件价格不一致的，以电子报价数据为准。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6．投标文件描述内容与原始材料引述内容不一致的，以原始材料内容为准；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7．对不同文字文本投标文件的解释发生异议的，以中文文本为准；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8．评标委员会认定为表述不清晰或无法确定的报价均不予修正。 同时出现两种（含）以上不一致的，按照前款规定的顺序在系统上进行澄清。澄清后的内容加盖电子印章确认后产生约束力，但不得超出投标文件的范围或者改变投标文件的实质性内容，投标人不确认的，其投标无效。 </w:t>
      </w:r>
    </w:p>
    <w:p>
      <w:pPr>
        <w:pStyle w:val="25"/>
        <w:spacing w:before="75" w:after="75" w:line="432"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（三）投标文件的澄清、说明或补正</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 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 投标人需登录广州市政府采购中心采购综合管理平台项目采购系统的等候大厅，在规定时间内完成澄清（响应），并加盖电子印章。投标人的澄清、说明或者补正不得超出投标文件的范围或者改变投标文件的实质性内容。</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3.若因投标人联系方式错误未接收短信、未接听电话或超时未进行澄清（响应）造成的不利后果由供应商自行承担。投标人的澄清、说明或者补正不得超出投标文件的范围或者改变投标文件的实质性内容。</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 评标委员会成员均应当阅读供应商的澄清、说明或者补正，但应独立参考澄清、说明或者补正对投标文件进行评审，整个澄清、说明或者补正的过程不得存在排斥潜在供应商的现象。评标委员会对投标人提交的澄清、说明或补正有疑问的，可以要求投标人进一步澄清、说明或补正。</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 如果投标文件实质上不响应招标文件的各项要求，评标委员会将按照招标文件要求予以拒绝，不接受供应商通过修改或撤销其不符合要求的差异或保留，使之成为具有响应性的投标。</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 除上述规定的情形之外，评标委员会在评审过程中，不得接收来自评审现场以外的任何形式的文件资料。</w:t>
      </w:r>
    </w:p>
    <w:p>
      <w:pPr>
        <w:ind w:firstLine="480"/>
        <w:rPr>
          <w:color w:val="000000" w:themeColor="text1"/>
          <w14:textFill>
            <w14:solidFill>
              <w14:schemeClr w14:val="tx1"/>
            </w14:solidFill>
          </w14:textFill>
        </w:rPr>
      </w:pPr>
    </w:p>
    <w:p>
      <w:pPr>
        <w:widowControl/>
        <w:jc w:val="left"/>
        <w:rPr>
          <w:color w:val="000000" w:themeColor="text1"/>
          <w:kern w:val="0"/>
          <w14:textFill>
            <w14:solidFill>
              <w14:schemeClr w14:val="tx1"/>
            </w14:solidFill>
          </w14:textFill>
        </w:rPr>
        <w:sectPr>
          <w:pgSz w:w="11906" w:h="16838"/>
          <w:pgMar w:top="1440" w:right="1080" w:bottom="1440" w:left="1080" w:header="851" w:footer="992" w:gutter="0"/>
          <w:cols w:space="720" w:num="1"/>
          <w:docGrid w:type="lines" w:linePitch="326" w:charSpace="0"/>
        </w:sectPr>
      </w:pPr>
    </w:p>
    <w:p>
      <w:pPr>
        <w:pStyle w:val="19"/>
        <w:spacing w:before="326" w:beforeLines="0" w:line="360" w:lineRule="auto"/>
        <w:ind w:firstLine="482" w:firstLineChars="200"/>
        <w:rPr>
          <w:rFonts w:ascii="宋体"/>
          <w:color w:val="000000" w:themeColor="text1"/>
          <w:szCs w:val="24"/>
          <w14:textFill>
            <w14:solidFill>
              <w14:schemeClr w14:val="tx1"/>
            </w14:solidFill>
          </w14:textFill>
        </w:rPr>
      </w:pPr>
      <w:r>
        <w:rPr>
          <w:rFonts w:hint="eastAsia" w:ascii="宋体"/>
          <w:color w:val="000000" w:themeColor="text1"/>
          <w:szCs w:val="24"/>
          <w14:textFill>
            <w14:solidFill>
              <w14:schemeClr w14:val="tx1"/>
            </w14:solidFill>
          </w14:textFill>
        </w:rPr>
        <w:t>五、评标程序</w:t>
      </w:r>
    </w:p>
    <w:p>
      <w:pPr>
        <w:pStyle w:val="50"/>
        <w:rPr>
          <w:color w:val="000000" w:themeColor="text1"/>
          <w14:textFill>
            <w14:solidFill>
              <w14:schemeClr w14:val="tx1"/>
            </w14:solidFill>
          </w14:textFill>
        </w:rPr>
      </w:pPr>
      <w:r>
        <w:rPr>
          <w:rFonts w:hint="eastAsia"/>
          <w:color w:val="000000" w:themeColor="text1"/>
          <w14:textFill>
            <w14:solidFill>
              <w14:schemeClr w14:val="tx1"/>
            </w14:solidFill>
          </w14:textFill>
        </w:rPr>
        <w:t>（一）资格审查</w:t>
      </w:r>
    </w:p>
    <w:p>
      <w:pPr>
        <w:pStyle w:val="25"/>
        <w:numPr>
          <w:ilvl w:val="0"/>
          <w:numId w:val="2"/>
        </w:numPr>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项目开标结束后，采购人或者采购代理机构应当依法对投标人的资格进行审查，出现不符合下列情形之一时，作无效投标处理。《资格审查表》如下：</w:t>
      </w:r>
    </w:p>
    <w:tbl>
      <w:tblPr>
        <w:tblStyle w:val="3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25"/>
        <w:gridCol w:w="4154"/>
        <w:gridCol w:w="508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w:t>
            </w:r>
          </w:p>
        </w:tc>
        <w:tc>
          <w:tcPr>
            <w:tcW w:w="2085"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具有独立承担民事责任的能力</w:t>
            </w:r>
          </w:p>
        </w:tc>
        <w:tc>
          <w:tcPr>
            <w:tcW w:w="2551"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依据《投标函》，</w:t>
            </w:r>
            <w:r>
              <w:rPr>
                <w:rFonts w:hint="eastAsia"/>
                <w:color w:val="000000" w:themeColor="text1"/>
                <w:sz w:val="21"/>
                <w:szCs w:val="21"/>
                <w14:textFill>
                  <w14:solidFill>
                    <w14:schemeClr w14:val="tx1"/>
                  </w14:solidFill>
                </w14:textFill>
              </w:rPr>
              <w:t>及以下相关证照的扫描件之一</w:t>
            </w:r>
            <w:r>
              <w:rPr>
                <w:color w:val="000000" w:themeColor="text1"/>
                <w:sz w:val="21"/>
                <w:szCs w:val="21"/>
                <w14:textFill>
                  <w14:solidFill>
                    <w14:schemeClr w14:val="tx1"/>
                  </w14:solidFill>
                </w14:textFill>
              </w:rPr>
              <w:t>：①企业法人提供企业法人营业执照；②事业法人提供事业法人登记证；③其他组织提供其他组织的营业执照或执业许可证；④自然人提供居民身份证等。分支机构投标的，还须提供分支机构的营业执照（执业许可证）扫描件及总公司（总所）出具给分支机构的授权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c>
          <w:tcPr>
            <w:tcW w:w="2085"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有依法缴纳税收和社会保障资金的良好记录</w:t>
            </w:r>
          </w:p>
        </w:tc>
        <w:tc>
          <w:tcPr>
            <w:tcW w:w="2551"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依据《投标函》</w:t>
            </w:r>
            <w:r>
              <w:rPr>
                <w:color w:val="000000" w:themeColor="text1"/>
                <w:sz w:val="21"/>
                <w:szCs w:val="21"/>
                <w:shd w:val="clear" w:color="auto" w:fill="FFFFFF"/>
                <w14:textFill>
                  <w14:solidFill>
                    <w14:schemeClr w14:val="tx1"/>
                  </w14:solidFill>
                </w14:textFill>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w:t>
            </w:r>
          </w:p>
        </w:tc>
        <w:tc>
          <w:tcPr>
            <w:tcW w:w="2085"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具有良好的商业信誉和健全的财务会计制度</w:t>
            </w:r>
          </w:p>
        </w:tc>
        <w:tc>
          <w:tcPr>
            <w:tcW w:w="2551"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依据《投标函》</w:t>
            </w:r>
            <w:r>
              <w:rPr>
                <w:color w:val="000000" w:themeColor="text1"/>
                <w:sz w:val="21"/>
                <w:szCs w:val="21"/>
                <w:shd w:val="clear" w:color="auto" w:fill="FFFFFF"/>
                <w14:textFill>
                  <w14:solidFill>
                    <w14:schemeClr w14:val="tx1"/>
                  </w14:solidFill>
                </w14:textFill>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c>
          <w:tcPr>
            <w:tcW w:w="2085"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履行合同所必需的设备和专业技术能力</w:t>
            </w:r>
          </w:p>
        </w:tc>
        <w:tc>
          <w:tcPr>
            <w:tcW w:w="2551"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依据《投标函》</w:t>
            </w:r>
            <w:r>
              <w:rPr>
                <w:color w:val="000000" w:themeColor="text1"/>
                <w:sz w:val="21"/>
                <w:szCs w:val="21"/>
                <w:shd w:val="clear" w:color="auto" w:fill="FFFFFF"/>
                <w14:textFill>
                  <w14:solidFill>
                    <w14:schemeClr w14:val="tx1"/>
                  </w14:solidFill>
                </w14:textFill>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w:t>
            </w:r>
          </w:p>
        </w:tc>
        <w:tc>
          <w:tcPr>
            <w:tcW w:w="2085"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参加采购活动前3年内，在经营活动中没有重大违法记录</w:t>
            </w:r>
          </w:p>
        </w:tc>
        <w:tc>
          <w:tcPr>
            <w:tcW w:w="2551"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依据《投标函》</w:t>
            </w:r>
            <w:r>
              <w:rPr>
                <w:rFonts w:hint="eastAsia"/>
                <w:color w:val="000000" w:themeColor="text1"/>
                <w:sz w:val="21"/>
                <w:szCs w:val="21"/>
                <w14:textFill>
                  <w14:solidFill>
                    <w14:schemeClr w14:val="tx1"/>
                  </w14:solidFill>
                </w14:textFill>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w:t>
            </w:r>
          </w:p>
        </w:tc>
        <w:tc>
          <w:tcPr>
            <w:tcW w:w="2085"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供应商必须符合法律、行政法规规定的其他条件</w:t>
            </w:r>
          </w:p>
        </w:tc>
        <w:tc>
          <w:tcPr>
            <w:tcW w:w="2551" w:type="pct"/>
          </w:tcPr>
          <w:p>
            <w:pPr>
              <w:pStyle w:val="75"/>
              <w:rPr>
                <w:color w:val="1F497D" w:themeColor="text2"/>
                <w:sz w:val="21"/>
                <w:szCs w:val="21"/>
                <w14:textFill>
                  <w14:solidFill>
                    <w14:schemeClr w14:val="tx2"/>
                  </w14:solidFill>
                </w14:textFill>
              </w:rPr>
            </w:pPr>
            <w:r>
              <w:rPr>
                <w:rFonts w:hint="eastAsia"/>
                <w:sz w:val="21"/>
                <w:szCs w:val="21"/>
              </w:rPr>
              <w:t>1.本项目不接受联合体投标。 2.供应商未被列入“信用中国”网站中“记录失信被执行人或重大税收违法失信主体或政府采购严重违法失信行为”的记录名单；不处于“中国政府采购网”中“政府采购严重违法失信行为信息记录”的禁止参加政府采购活动期间（以采购代理机构或采购人于资格审查时在上述网站查询结果为准，如在上述网站查询结果均显示没有相关记录，视为没有上述不良信用记录。同时对信用信息查询记录和证据截图存档。如相关失信记录已失效，供应商须提供相关证明资料）。 3.供应商必须符合法律、行政法规规定的其他条件：依据《投标函》。</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82" w:hRule="atLeast"/>
        </w:trPr>
        <w:tc>
          <w:tcPr>
            <w:tcW w:w="364" w:type="pct"/>
          </w:tcPr>
          <w:p>
            <w:pPr>
              <w:pStyle w:val="7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w:t>
            </w:r>
          </w:p>
        </w:tc>
        <w:tc>
          <w:tcPr>
            <w:tcW w:w="2085" w:type="pct"/>
          </w:tcPr>
          <w:p>
            <w:pPr>
              <w:pStyle w:val="75"/>
              <w:rPr>
                <w:color w:val="000000" w:themeColor="text1"/>
                <w:sz w:val="21"/>
                <w:szCs w:val="21"/>
                <w14:textFill>
                  <w14:solidFill>
                    <w14:schemeClr w14:val="tx1"/>
                  </w14:solidFill>
                </w14:textFill>
              </w:rPr>
            </w:pPr>
            <w:r>
              <w:rPr>
                <w:rFonts w:hint="eastAsia"/>
                <w:color w:val="1F497D" w:themeColor="text2"/>
                <w:sz w:val="21"/>
                <w:szCs w:val="21"/>
                <w14:textFill>
                  <w14:solidFill>
                    <w14:schemeClr w14:val="tx2"/>
                  </w14:solidFill>
                </w14:textFill>
              </w:rPr>
              <w:t>落实政府采购政策需满足的资格要求</w:t>
            </w:r>
          </w:p>
        </w:tc>
        <w:tc>
          <w:tcPr>
            <w:tcW w:w="2551" w:type="pct"/>
          </w:tcPr>
          <w:p>
            <w:pPr>
              <w:pStyle w:val="75"/>
              <w:rPr>
                <w:rFonts w:ascii="宋体" w:hAnsi="等线" w:cs="宋体"/>
                <w:color w:val="000000" w:themeColor="text1"/>
                <w:sz w:val="21"/>
                <w:szCs w:val="21"/>
                <w:shd w:val="clear" w:color="auto" w:fill="FFFFFF"/>
                <w14:textFill>
                  <w14:solidFill>
                    <w14:schemeClr w14:val="tx1"/>
                  </w14:solidFill>
                </w14:textFill>
              </w:rPr>
            </w:pPr>
            <w:r>
              <w:rPr>
                <w:rStyle w:val="37"/>
                <w:rFonts w:hint="eastAsia" w:cs="Times New Roman"/>
              </w:rPr>
              <w:t>本项目不属于专门面向中小微企业采购的项目</w:t>
            </w:r>
            <w:r>
              <w:rPr>
                <w:rFonts w:hint="eastAsia" w:ascii="宋体" w:hAnsi="等线" w:cs="宋体"/>
                <w:color w:val="000000" w:themeColor="text1"/>
                <w:sz w:val="21"/>
                <w:szCs w:val="21"/>
                <w:shd w:val="clear" w:color="auto" w:fill="FFFFFF"/>
                <w14:textFill>
                  <w14:solidFill>
                    <w14:schemeClr w14:val="tx1"/>
                  </w14:solidFill>
                </w14:textFill>
              </w:rPr>
              <w:t>。</w:t>
            </w:r>
          </w:p>
        </w:tc>
      </w:tr>
    </w:tbl>
    <w:p>
      <w:pPr>
        <w:pStyle w:val="25"/>
        <w:spacing w:before="75" w:after="75"/>
        <w:ind w:firstLine="420"/>
        <w:jc w:val="both"/>
        <w:rPr>
          <w:color w:val="000000" w:themeColor="text1"/>
          <w:shd w:val="clear" w:color="auto" w:fill="FFFFFF"/>
          <w14:textFill>
            <w14:solidFill>
              <w14:schemeClr w14:val="tx1"/>
            </w14:solidFill>
          </w14:textFill>
        </w:rPr>
      </w:pP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2.采购人或采购代理机构进行资格审查时认定供应商不合格的，应告知供应商并说明理由，采购代理机构应在资格审查报告中以书面形式解释其排除的具体原因。</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3.不通过资格审查或投标无效的，不作符合性审查。</w:t>
      </w:r>
    </w:p>
    <w:p>
      <w:pPr>
        <w:pStyle w:val="50"/>
        <w:rPr>
          <w:color w:val="000000" w:themeColor="text1"/>
          <w14:textFill>
            <w14:solidFill>
              <w14:schemeClr w14:val="tx1"/>
            </w14:solidFill>
          </w14:textFill>
        </w:rPr>
      </w:pPr>
      <w:r>
        <w:rPr>
          <w:rFonts w:hint="eastAsia"/>
          <w:color w:val="000000" w:themeColor="text1"/>
          <w14:textFill>
            <w14:solidFill>
              <w14:schemeClr w14:val="tx1"/>
            </w14:solidFill>
          </w14:textFill>
        </w:rPr>
        <w:t>（二）符合性审查和异常低价审查</w:t>
      </w:r>
    </w:p>
    <w:p>
      <w:pPr>
        <w:pStyle w:val="25"/>
        <w:numPr>
          <w:ilvl w:val="0"/>
          <w:numId w:val="3"/>
        </w:numPr>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评标委员会应当对符合资格的投标人的投标文件进行符合性审查，以确定其是否满足招标文件的实质性要求，出现不符合下列情形之一时，作无效投标处理。《符合性审查表》如下：</w:t>
      </w:r>
    </w:p>
    <w:tbl>
      <w:tblPr>
        <w:tblStyle w:val="30"/>
        <w:tblW w:w="5000"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108" w:type="dxa"/>
          <w:bottom w:w="0" w:type="dxa"/>
          <w:right w:w="108" w:type="dxa"/>
        </w:tblCellMar>
      </w:tblPr>
      <w:tblGrid>
        <w:gridCol w:w="1171"/>
        <w:gridCol w:w="860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序号</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jc w:val="center"/>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符合性审查内容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1</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报价确定且符合要求。</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2</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有盖章、签署要求的格式文件已按要求盖章、签署。</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3</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投标文件完全满足招标文件中带★号的条款和指标(审查《实质性响应条款一览表》)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4</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numPr>
                <w:ilvl w:val="255"/>
                <w:numId w:val="0"/>
              </w:numPr>
              <w:spacing w:before="75" w:after="75"/>
              <w:jc w:val="both"/>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由于本项目为废标后重启项目（兼投不兼中），原本项目各个采购包的中标人安捷伦科技（中国）有限公司/上海隐智科学仪器有限公司/大连天亿技术服务有限公司若参与本采购包投标，将不通过符合性审查。（如因该种情况不通过符合性审查，评审现场不执行及时告知投标人的操作）</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5</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未发现属无效投标的其他情形（见表末说明）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6</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根据投标截止后采购机构现场公布投标保证金缴纳情况判定：采用保函、担保或保证保险等方式缴纳的，投标人应在文件中提交其佐证材料的扫描件。采取汇款方式缴纳的，投标保证金应当从报价供应商的银行账户缴纳且在投标截止时间前到达采购机构账户内，同时将支付凭证通过投标文件一并提交，以凭证为准，否则视为无效投标；投标人在汇款时应当在备注信息中注明本项目的编号及用途（如“项目编号，投标保证金”），以便采购机构的财务人员查证入账。</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c>
          <w:tcPr>
            <w:tcW w:w="599" w:type="pct"/>
            <w:tcBorders>
              <w:top w:val="outset" w:color="auto" w:sz="6" w:space="0"/>
              <w:left w:val="outset" w:color="auto" w:sz="6" w:space="0"/>
              <w:bottom w:val="outset" w:color="auto" w:sz="6" w:space="0"/>
              <w:right w:val="outset" w:color="auto" w:sz="6" w:space="0"/>
            </w:tcBorders>
            <w:tcMar>
              <w:top w:w="15" w:type="dxa"/>
              <w:left w:w="22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7</w:t>
            </w:r>
          </w:p>
        </w:tc>
        <w:tc>
          <w:tcPr>
            <w:tcW w:w="4400" w:type="pct"/>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vAlign w:val="center"/>
          </w:tcPr>
          <w:p>
            <w:pPr>
              <w:pStyle w:val="25"/>
              <w:wordWrap w:val="0"/>
              <w:rPr>
                <w:color w:val="000000" w:themeColor="text1"/>
                <w:kern w:val="2"/>
                <w:sz w:val="21"/>
                <w:szCs w:val="21"/>
                <w14:textFill>
                  <w14:solidFill>
                    <w14:schemeClr w14:val="tx1"/>
                  </w14:solidFill>
                </w14:textFill>
              </w:rPr>
            </w:pPr>
            <w:r>
              <w:rPr>
                <w:rFonts w:hint="eastAsia"/>
                <w:color w:val="000000" w:themeColor="text1"/>
                <w:kern w:val="2"/>
                <w:sz w:val="21"/>
                <w:szCs w:val="21"/>
                <w14:textFill>
                  <w14:solidFill>
                    <w14:schemeClr w14:val="tx1"/>
                  </w14:solidFill>
                </w14:textFill>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25"/>
        <w:spacing w:before="75" w:after="75"/>
        <w:ind w:firstLine="420"/>
        <w:jc w:val="both"/>
        <w:rPr>
          <w:color w:val="000000" w:themeColor="text1"/>
          <w:shd w:val="clear" w:color="auto" w:fill="FFFFFF"/>
          <w14:textFill>
            <w14:solidFill>
              <w14:schemeClr w14:val="tx1"/>
            </w14:solidFill>
          </w14:textFill>
        </w:rPr>
      </w:pP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说明：以下为属无效投标的其他情形。</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（1）法定代表人或单位负责人为同一个人或者存在直接控股、管理关系的不同供应商，同时参加同一采购包投标的。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（2）投标人为本项目提供整体设计、规范编制或者项目管理、监理、检测等服务的。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（3）评标期间，投标人没有按评标委员会的要求提交法定代表人或其委托代理人签字的澄清、说明、补正或改变了投标文件的实质性内容的。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（4）投标文件提供虚假材料的。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（5）投标人以他人的名义投标、串通投标、以行贿手段谋取中标或者以其他弄虚作假方式投标的。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（6）投标人对采购人、采购代理机构、评标委员会及其工作人员施加影响，有碍招标公平、公正的。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（7）投标文件含有采购人不能接受的附加条件的。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（8）法律、法规和招标文件规定的其他无效情形。</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rFonts w:hint="eastAsia"/>
        </w:rPr>
        <w:t xml:space="preserve"> </w:t>
      </w:r>
      <w:r>
        <w:rPr>
          <w:rFonts w:hint="eastAsia"/>
          <w:color w:val="000000" w:themeColor="text1"/>
          <w:shd w:val="clear" w:color="auto" w:fill="FFFFFF"/>
          <w14:textFill>
            <w14:solidFill>
              <w14:schemeClr w14:val="tx1"/>
            </w14:solidFill>
          </w14:textFill>
        </w:rPr>
        <w:t>异常低价审查。 政府采购评审中出现采购文件明确的异常低价情形，评审委员会应当启动异常低价投标（响应）审查程序。</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评审委员会启动异常低价投标（响应）审查后，应当要求相关供应商在评审现场合理的时间内对投标（响应）价格作出解释，并提交项目具体成本测算等与报价合理性相关的证明材料（包括但不限于供应商投标报价期上一年度自身生产、经营成本及相关证明材料，证明材料包括：第三方机构出具的自身生产、经营成本的审计报告等相关证明材料证明其报价合理性）；</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（2）被启动异常低价审查的供应商，如果不提供书面说明、证明材料，或者提供的书面说明、证明材料不能证明其报价合理性的，应当将其作为无效投标（响应）处理。</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（3）通过异常低价审查的不足3家，不得进入详细评审。</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w:t>
      </w:r>
      <w:r>
        <w:rPr>
          <w:rFonts w:hint="eastAsia"/>
        </w:rPr>
        <w:t xml:space="preserve"> </w:t>
      </w:r>
      <w:r>
        <w:rPr>
          <w:rFonts w:hint="eastAsia"/>
          <w:color w:val="000000" w:themeColor="text1"/>
          <w:shd w:val="clear" w:color="auto" w:fill="FFFFFF"/>
          <w14:textFill>
            <w14:solidFill>
              <w14:schemeClr w14:val="tx1"/>
            </w14:solidFill>
          </w14:textFill>
        </w:rPr>
        <w:t xml:space="preserve">对各投标人进行资格审查、符合性审查、异常低价审查过程中，对初步被认定为无效投标者，由评标委员会组长或采购人代表将集体意见及时告知投标当事人，采购代理机构应在评标报告中以书面形式解释其排除的具体原因。 </w:t>
      </w:r>
    </w:p>
    <w:p>
      <w:pPr>
        <w:pStyle w:val="50"/>
        <w:rPr>
          <w:color w:val="000000" w:themeColor="text1"/>
          <w14:textFill>
            <w14:solidFill>
              <w14:schemeClr w14:val="tx1"/>
            </w14:solidFill>
          </w14:textFill>
        </w:rPr>
      </w:pPr>
      <w:r>
        <w:rPr>
          <w:rFonts w:hint="eastAsia"/>
          <w:color w:val="000000" w:themeColor="text1"/>
          <w14:textFill>
            <w14:solidFill>
              <w14:schemeClr w14:val="tx1"/>
            </w14:solidFill>
          </w14:textFill>
        </w:rPr>
        <w:t>（三）技术评分</w:t>
      </w:r>
    </w:p>
    <w:p>
      <w:pPr>
        <w:pStyle w:val="25"/>
        <w:spacing w:before="75" w:after="75"/>
        <w:ind w:firstLine="420"/>
        <w:jc w:val="both"/>
        <w:rPr>
          <w:color w:val="000000" w:themeColor="text1"/>
          <w:shd w:val="clear" w:color="auto" w:fill="FFFFFF"/>
          <w14:textFill>
            <w14:solidFill>
              <w14:schemeClr w14:val="tx1"/>
            </w14:solidFill>
          </w14:textFill>
        </w:rPr>
      </w:pPr>
      <w:r>
        <w:rPr>
          <w:color w:val="000000" w:themeColor="text1"/>
          <w:shd w:val="clear" w:color="auto" w:fill="FFFFFF"/>
          <w14:textFill>
            <w14:solidFill>
              <w14:schemeClr w14:val="tx1"/>
            </w14:solidFill>
          </w14:textFill>
        </w:rPr>
        <w:t>1.</w:t>
      </w:r>
      <w:r>
        <w:rPr>
          <w:rFonts w:hint="eastAsia"/>
          <w:color w:val="000000" w:themeColor="text1"/>
          <w:shd w:val="clear" w:color="auto" w:fill="FFFFFF"/>
          <w14:textFill>
            <w14:solidFill>
              <w14:schemeClr w14:val="tx1"/>
            </w14:solidFill>
          </w14:textFill>
        </w:rPr>
        <w:t>由评标委员会成员对所有有效投标文件的技术和服务响应方案进行审核和分析，填写《技术评分表》，如下：</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1724"/>
        <w:gridCol w:w="6817"/>
        <w:gridCol w:w="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jc w:val="center"/>
              <w:rPr>
                <w:rFonts w:ascii="宋体"/>
                <w:b/>
                <w:color w:val="000000" w:themeColor="text1"/>
                <w:sz w:val="21"/>
                <w:szCs w:val="21"/>
                <w14:textFill>
                  <w14:solidFill>
                    <w14:schemeClr w14:val="tx1"/>
                  </w14:solidFill>
                </w14:textFill>
              </w:rPr>
            </w:pPr>
            <w:r>
              <w:rPr>
                <w:rFonts w:hint="eastAsia" w:ascii="宋体"/>
                <w:b/>
                <w:color w:val="000000" w:themeColor="text1"/>
                <w:sz w:val="21"/>
                <w:szCs w:val="21"/>
                <w14:textFill>
                  <w14:solidFill>
                    <w14:schemeClr w14:val="tx1"/>
                  </w14:solidFill>
                </w14:textFill>
              </w:rPr>
              <w:t>序号</w:t>
            </w:r>
          </w:p>
        </w:tc>
        <w:tc>
          <w:tcPr>
            <w:tcW w:w="865" w:type="pct"/>
            <w:vAlign w:val="center"/>
          </w:tcPr>
          <w:p>
            <w:pPr>
              <w:adjustRightInd w:val="0"/>
              <w:snapToGrid w:val="0"/>
              <w:jc w:val="center"/>
              <w:rPr>
                <w:rFonts w:ascii="宋体"/>
                <w:b/>
                <w:color w:val="000000" w:themeColor="text1"/>
                <w:sz w:val="21"/>
                <w:szCs w:val="21"/>
                <w14:textFill>
                  <w14:solidFill>
                    <w14:schemeClr w14:val="tx1"/>
                  </w14:solidFill>
                </w14:textFill>
              </w:rPr>
            </w:pPr>
            <w:r>
              <w:rPr>
                <w:rFonts w:hint="eastAsia" w:ascii="宋体"/>
                <w:b/>
                <w:color w:val="000000" w:themeColor="text1"/>
                <w:sz w:val="21"/>
                <w:szCs w:val="21"/>
                <w14:textFill>
                  <w14:solidFill>
                    <w14:schemeClr w14:val="tx1"/>
                  </w14:solidFill>
                </w14:textFill>
              </w:rPr>
              <w:t>评审项目</w:t>
            </w:r>
          </w:p>
        </w:tc>
        <w:tc>
          <w:tcPr>
            <w:tcW w:w="3421" w:type="pct"/>
            <w:vAlign w:val="center"/>
          </w:tcPr>
          <w:p>
            <w:pPr>
              <w:adjustRightInd w:val="0"/>
              <w:snapToGrid w:val="0"/>
              <w:jc w:val="center"/>
              <w:rPr>
                <w:rFonts w:ascii="宋体"/>
                <w:b/>
                <w:color w:val="000000" w:themeColor="text1"/>
                <w:sz w:val="21"/>
                <w:szCs w:val="21"/>
                <w14:textFill>
                  <w14:solidFill>
                    <w14:schemeClr w14:val="tx1"/>
                  </w14:solidFill>
                </w14:textFill>
              </w:rPr>
            </w:pPr>
            <w:r>
              <w:rPr>
                <w:rFonts w:hint="eastAsia" w:ascii="宋体"/>
                <w:b/>
                <w:color w:val="000000" w:themeColor="text1"/>
                <w:sz w:val="21"/>
                <w:szCs w:val="21"/>
                <w14:textFill>
                  <w14:solidFill>
                    <w14:schemeClr w14:val="tx1"/>
                  </w14:solidFill>
                </w14:textFill>
              </w:rPr>
              <w:t>评审细则</w:t>
            </w:r>
          </w:p>
        </w:tc>
        <w:tc>
          <w:tcPr>
            <w:tcW w:w="408" w:type="pct"/>
            <w:vAlign w:val="center"/>
          </w:tcPr>
          <w:p>
            <w:pPr>
              <w:adjustRightInd w:val="0"/>
              <w:snapToGrid w:val="0"/>
              <w:jc w:val="center"/>
              <w:rPr>
                <w:rFonts w:ascii="宋体"/>
                <w:b/>
                <w:color w:val="000000" w:themeColor="text1"/>
                <w:sz w:val="21"/>
                <w:szCs w:val="21"/>
                <w14:textFill>
                  <w14:solidFill>
                    <w14:schemeClr w14:val="tx1"/>
                  </w14:solidFill>
                </w14:textFill>
              </w:rPr>
            </w:pPr>
            <w:r>
              <w:rPr>
                <w:rFonts w:hint="eastAsia" w:ascii="宋体"/>
                <w:b/>
                <w:color w:val="000000" w:themeColor="text1"/>
                <w:sz w:val="21"/>
                <w:szCs w:val="21"/>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5" w:type="pct"/>
            <w:vAlign w:val="center"/>
          </w:tcPr>
          <w:p>
            <w:pPr>
              <w:numPr>
                <w:ilvl w:val="0"/>
                <w:numId w:val="4"/>
              </w:numPr>
              <w:adjustRightInd w:val="0"/>
              <w:snapToGrid w:val="0"/>
              <w:rPr>
                <w:rFonts w:ascii="宋体"/>
                <w:bCs/>
                <w:color w:val="000000" w:themeColor="text1"/>
                <w:sz w:val="21"/>
                <w:szCs w:val="21"/>
                <w14:textFill>
                  <w14:solidFill>
                    <w14:schemeClr w14:val="tx1"/>
                  </w14:solidFill>
                </w14:textFill>
              </w:rPr>
            </w:pP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维保服务方案1</w:t>
            </w:r>
          </w:p>
        </w:tc>
        <w:tc>
          <w:tcPr>
            <w:tcW w:w="3421" w:type="pct"/>
            <w:vAlign w:val="center"/>
          </w:tcPr>
          <w:p>
            <w:pPr>
              <w:widowControl/>
              <w:autoSpaceDN w:val="0"/>
              <w:snapToGrid w:val="0"/>
              <w:spacing w:line="360" w:lineRule="auto"/>
              <w:rPr>
                <w:rFonts w:ascii="宋体"/>
                <w:bCs/>
                <w:color w:val="000000" w:themeColor="text1"/>
                <w:sz w:val="21"/>
                <w:szCs w:val="21"/>
                <w14:textFill>
                  <w14:solidFill>
                    <w14:schemeClr w14:val="tx1"/>
                  </w14:solidFill>
                </w14:textFill>
              </w:rPr>
            </w:pPr>
            <w:r>
              <w:rPr>
                <w:rFonts w:hint="eastAsia" w:hAnsi="宋体" w:cs="宋体"/>
              </w:rPr>
              <w:t>根据采购需求第二章中的要求，对投标人提供的</w:t>
            </w:r>
            <w:r>
              <w:rPr>
                <w:rFonts w:hint="eastAsia" w:ascii="宋体" w:hAnsi="宋体" w:cs="宋体"/>
              </w:rPr>
              <w:t>维保服务方案</w:t>
            </w:r>
            <w:r>
              <w:rPr>
                <w:rFonts w:hint="eastAsia" w:hAnsi="宋体" w:cs="宋体"/>
              </w:rPr>
              <w:t>进行评分</w:t>
            </w:r>
            <w:r>
              <w:rPr>
                <w:rFonts w:hAnsi="宋体" w:cs="宋体"/>
              </w:rPr>
              <w:t>。</w:t>
            </w:r>
            <w:r>
              <w:rPr>
                <w:rFonts w:hint="eastAsia" w:hAnsi="宋体" w:cs="宋体"/>
              </w:rPr>
              <w:t>能完整提供上述方案的得4分。未能提供或提供不全的，本评分项及</w:t>
            </w:r>
            <w:r>
              <w:rPr>
                <w:rFonts w:hint="eastAsia" w:ascii="宋体" w:hAnsi="宋体" w:cs="宋体"/>
              </w:rPr>
              <w:t>维保服务方案2</w:t>
            </w:r>
            <w:r>
              <w:rPr>
                <w:rFonts w:hint="eastAsia"/>
              </w:rPr>
              <w:t>均</w:t>
            </w:r>
            <w:r>
              <w:rPr>
                <w:rFonts w:hint="eastAsia" w:hAnsi="宋体" w:cs="宋体"/>
              </w:rPr>
              <w:t>不得分。</w:t>
            </w:r>
          </w:p>
        </w:tc>
        <w:tc>
          <w:tcPr>
            <w:tcW w:w="408" w:type="pct"/>
            <w:vAlign w:val="center"/>
          </w:tcPr>
          <w:p>
            <w:pPr>
              <w:adjustRightInd w:val="0"/>
              <w:snapToGrid w:val="0"/>
              <w:jc w:val="center"/>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5" w:type="pct"/>
            <w:vAlign w:val="center"/>
          </w:tcPr>
          <w:p>
            <w:pPr>
              <w:adjustRightInd w:val="0"/>
              <w:snapToGrid w:val="0"/>
              <w:jc w:val="left"/>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2</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维保服务方案2</w:t>
            </w:r>
          </w:p>
        </w:tc>
        <w:tc>
          <w:tcPr>
            <w:tcW w:w="3421" w:type="pct"/>
          </w:tcPr>
          <w:p>
            <w:pPr>
              <w:autoSpaceDN w:val="0"/>
              <w:snapToGrid w:val="0"/>
              <w:spacing w:line="360" w:lineRule="auto"/>
              <w:rPr>
                <w:rFonts w:ascii="宋体"/>
                <w:bCs/>
                <w:sz w:val="21"/>
                <w:szCs w:val="21"/>
              </w:rPr>
            </w:pPr>
            <w:r>
              <w:rPr>
                <w:rFonts w:hint="eastAsia" w:ascii="宋体" w:hAnsi="宋体" w:cs="宋体"/>
              </w:rPr>
              <w:t>根据投标人提出的维保服务方案进行评审，优于采购需求的得8分，完全满足采购需求的得5分，部分满足采购需求得的2分，其他或未提供不得分。</w:t>
            </w:r>
          </w:p>
        </w:tc>
        <w:tc>
          <w:tcPr>
            <w:tcW w:w="408" w:type="pct"/>
            <w:vAlign w:val="center"/>
          </w:tcPr>
          <w:p>
            <w:pPr>
              <w:adjustRightInd w:val="0"/>
              <w:snapToGrid w:val="0"/>
              <w:jc w:val="center"/>
              <w:rPr>
                <w:rFonts w:ascii="宋体" w:cs="宋体"/>
                <w:color w:val="000000" w:themeColor="text1"/>
                <w:kern w:val="0"/>
                <w:sz w:val="21"/>
                <w:szCs w:val="21"/>
                <w14:textFill>
                  <w14:solidFill>
                    <w14:schemeClr w14:val="tx1"/>
                  </w14:solidFill>
                </w14:textFill>
              </w:rPr>
            </w:pPr>
            <w:r>
              <w:rPr>
                <w:rFonts w:hint="eastAsia" w:ascii="宋体" w:cs="宋体"/>
                <w:color w:val="000000" w:themeColor="text1"/>
                <w:kern w:val="0"/>
                <w:sz w:val="2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3</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团队管理服务方案1</w:t>
            </w:r>
          </w:p>
        </w:tc>
        <w:tc>
          <w:tcPr>
            <w:tcW w:w="3421" w:type="pct"/>
            <w:vAlign w:val="center"/>
          </w:tcPr>
          <w:p>
            <w:pPr>
              <w:widowControl/>
              <w:autoSpaceDN w:val="0"/>
              <w:snapToGrid w:val="0"/>
              <w:spacing w:line="360" w:lineRule="auto"/>
              <w:rPr>
                <w:rFonts w:ascii="宋体"/>
                <w:bCs/>
                <w:color w:val="000000" w:themeColor="text1"/>
                <w:kern w:val="0"/>
                <w:sz w:val="21"/>
                <w:szCs w:val="21"/>
                <w14:textFill>
                  <w14:solidFill>
                    <w14:schemeClr w14:val="tx1"/>
                  </w14:solidFill>
                </w14:textFill>
              </w:rPr>
            </w:pPr>
            <w:r>
              <w:rPr>
                <w:rFonts w:hint="eastAsia" w:hAnsi="宋体" w:cs="宋体"/>
              </w:rPr>
              <w:t>根据采购需求第二章中的要求，对投标人提供的</w:t>
            </w:r>
            <w:r>
              <w:rPr>
                <w:rFonts w:hint="eastAsia" w:ascii="宋体" w:hAnsi="宋体" w:cs="宋体"/>
              </w:rPr>
              <w:t>团队管理服务方案</w:t>
            </w:r>
            <w:r>
              <w:rPr>
                <w:rFonts w:hint="eastAsia" w:hAnsi="宋体" w:cs="宋体"/>
              </w:rPr>
              <w:t>进行评分</w:t>
            </w:r>
            <w:r>
              <w:rPr>
                <w:rFonts w:hAnsi="宋体" w:cs="宋体"/>
              </w:rPr>
              <w:t>。</w:t>
            </w:r>
            <w:r>
              <w:rPr>
                <w:rFonts w:hint="eastAsia" w:hAnsi="宋体" w:cs="宋体"/>
              </w:rPr>
              <w:t>能完整提供上述方案的得4分。未能提供或提供不全的，本评分项及</w:t>
            </w:r>
            <w:r>
              <w:rPr>
                <w:rFonts w:hint="eastAsia" w:ascii="宋体" w:hAnsi="宋体" w:cs="宋体"/>
              </w:rPr>
              <w:t>团队管理服务方案2</w:t>
            </w:r>
            <w:r>
              <w:rPr>
                <w:rFonts w:hint="eastAsia"/>
              </w:rPr>
              <w:t>均</w:t>
            </w:r>
            <w:r>
              <w:rPr>
                <w:rFonts w:hint="eastAsia" w:hAnsi="宋体" w:cs="宋体"/>
              </w:rPr>
              <w:t>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4</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团队管理服务方案2</w:t>
            </w:r>
          </w:p>
        </w:tc>
        <w:tc>
          <w:tcPr>
            <w:tcW w:w="3421" w:type="pct"/>
          </w:tcPr>
          <w:p>
            <w:pPr>
              <w:autoSpaceDN w:val="0"/>
              <w:snapToGrid w:val="0"/>
              <w:spacing w:line="360" w:lineRule="auto"/>
              <w:rPr>
                <w:rFonts w:ascii="宋体"/>
                <w:bCs/>
                <w:color w:val="000000" w:themeColor="text1"/>
                <w:kern w:val="0"/>
                <w:sz w:val="21"/>
                <w:szCs w:val="21"/>
                <w14:textFill>
                  <w14:solidFill>
                    <w14:schemeClr w14:val="tx1"/>
                  </w14:solidFill>
                </w14:textFill>
              </w:rPr>
            </w:pPr>
            <w:r>
              <w:rPr>
                <w:rFonts w:hint="eastAsia" w:ascii="宋体" w:hAnsi="宋体" w:cs="宋体"/>
              </w:rPr>
              <w:t>根据投标人提出的团队管理服务方案进行评审，优于采购需求的得8分，完全满足采购需求的得5分，部分满足采购需求得的2分，其他或未提供不得分。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cs="宋体"/>
                <w:color w:val="000000" w:themeColor="text1"/>
                <w:kern w:val="0"/>
                <w:sz w:val="2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5</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服务响应方案1</w:t>
            </w:r>
          </w:p>
        </w:tc>
        <w:tc>
          <w:tcPr>
            <w:tcW w:w="3421" w:type="pct"/>
            <w:vAlign w:val="center"/>
          </w:tcPr>
          <w:p>
            <w:pPr>
              <w:widowControl/>
              <w:autoSpaceDN w:val="0"/>
              <w:snapToGrid w:val="0"/>
              <w:spacing w:line="360" w:lineRule="auto"/>
              <w:rPr>
                <w:rFonts w:ascii="宋体"/>
                <w:bCs/>
                <w:color w:val="000000" w:themeColor="text1"/>
                <w:kern w:val="0"/>
                <w:sz w:val="21"/>
                <w:szCs w:val="21"/>
                <w14:textFill>
                  <w14:solidFill>
                    <w14:schemeClr w14:val="tx1"/>
                  </w14:solidFill>
                </w14:textFill>
              </w:rPr>
            </w:pPr>
            <w:r>
              <w:rPr>
                <w:rFonts w:hint="eastAsia" w:hAnsi="宋体" w:cs="宋体"/>
              </w:rPr>
              <w:t>根据采购需求第二章的要求，对投标人提供的</w:t>
            </w:r>
            <w:r>
              <w:rPr>
                <w:rFonts w:hint="eastAsia" w:ascii="宋体" w:hAnsi="宋体" w:cs="宋体"/>
              </w:rPr>
              <w:t>服务响应方案</w:t>
            </w:r>
            <w:r>
              <w:rPr>
                <w:rFonts w:hint="eastAsia" w:hAnsi="宋体" w:cs="宋体"/>
              </w:rPr>
              <w:t>进行评分</w:t>
            </w:r>
            <w:r>
              <w:rPr>
                <w:rFonts w:hAnsi="宋体" w:cs="宋体"/>
              </w:rPr>
              <w:t>。</w:t>
            </w:r>
            <w:r>
              <w:rPr>
                <w:rFonts w:hint="eastAsia" w:hAnsi="宋体" w:cs="宋体"/>
              </w:rPr>
              <w:t>能完整提供上述方案的得4分。未能提供或提供不全的，本评分项及</w:t>
            </w:r>
            <w:r>
              <w:rPr>
                <w:rFonts w:hint="eastAsia" w:ascii="宋体" w:hAnsi="宋体" w:cs="宋体"/>
              </w:rPr>
              <w:t>服务响应方案2</w:t>
            </w:r>
            <w:r>
              <w:rPr>
                <w:rFonts w:hint="eastAsia"/>
              </w:rPr>
              <w:t>均</w:t>
            </w:r>
            <w:r>
              <w:rPr>
                <w:rFonts w:hint="eastAsia" w:hAnsi="宋体" w:cs="宋体"/>
              </w:rPr>
              <w:t>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6</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服务响应方案2</w:t>
            </w:r>
          </w:p>
        </w:tc>
        <w:tc>
          <w:tcPr>
            <w:tcW w:w="3421" w:type="pct"/>
          </w:tcPr>
          <w:p>
            <w:pPr>
              <w:autoSpaceDN w:val="0"/>
              <w:snapToGrid w:val="0"/>
              <w:spacing w:line="360" w:lineRule="auto"/>
              <w:rPr>
                <w:rFonts w:ascii="宋体"/>
                <w:bCs/>
                <w:color w:val="000000" w:themeColor="text1"/>
                <w:kern w:val="0"/>
                <w:sz w:val="21"/>
                <w:szCs w:val="21"/>
                <w14:textFill>
                  <w14:solidFill>
                    <w14:schemeClr w14:val="tx1"/>
                  </w14:solidFill>
                </w14:textFill>
              </w:rPr>
            </w:pPr>
            <w:r>
              <w:rPr>
                <w:rFonts w:hint="eastAsia" w:ascii="宋体" w:hAnsi="宋体" w:cs="宋体"/>
              </w:rPr>
              <w:t>根据投标人提出的服务响应方案进行评审，优于采购需求的得8分，完全满足采购需求的得5分，部分满足采购需求得的2分，其他或未提供不得分。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cs="宋体"/>
                <w:color w:val="000000" w:themeColor="text1"/>
                <w:kern w:val="0"/>
                <w:sz w:val="2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7</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应急服务方案1</w:t>
            </w:r>
          </w:p>
        </w:tc>
        <w:tc>
          <w:tcPr>
            <w:tcW w:w="3421" w:type="pct"/>
            <w:vAlign w:val="center"/>
          </w:tcPr>
          <w:p>
            <w:pPr>
              <w:widowControl/>
              <w:autoSpaceDN w:val="0"/>
              <w:snapToGrid w:val="0"/>
              <w:spacing w:line="360" w:lineRule="auto"/>
              <w:rPr>
                <w:rFonts w:ascii="宋体" w:hAnsi="宋体" w:cs="宋体"/>
                <w:color w:val="000000" w:themeColor="text1"/>
                <w:sz w:val="21"/>
                <w:szCs w:val="21"/>
                <w14:textFill>
                  <w14:solidFill>
                    <w14:schemeClr w14:val="tx1"/>
                  </w14:solidFill>
                </w14:textFill>
              </w:rPr>
            </w:pPr>
            <w:r>
              <w:rPr>
                <w:rFonts w:hint="eastAsia" w:hAnsi="宋体" w:cs="宋体"/>
              </w:rPr>
              <w:t>根据采购需求第二章的要求，对投标人提供的</w:t>
            </w:r>
            <w:r>
              <w:rPr>
                <w:rFonts w:hint="eastAsia" w:ascii="宋体" w:hAnsi="宋体" w:cs="宋体"/>
              </w:rPr>
              <w:t>应急服务方案</w:t>
            </w:r>
            <w:r>
              <w:rPr>
                <w:rFonts w:hint="eastAsia" w:hAnsi="宋体" w:cs="宋体"/>
              </w:rPr>
              <w:t>进行评分</w:t>
            </w:r>
            <w:r>
              <w:rPr>
                <w:rFonts w:hAnsi="宋体" w:cs="宋体"/>
              </w:rPr>
              <w:t>。</w:t>
            </w:r>
            <w:r>
              <w:rPr>
                <w:rFonts w:hint="eastAsia" w:hAnsi="宋体" w:cs="宋体"/>
              </w:rPr>
              <w:t>能完整提供上述方案的得4分。未能提供或提供不全的，本评分项及</w:t>
            </w:r>
            <w:r>
              <w:rPr>
                <w:rFonts w:hint="eastAsia" w:ascii="宋体" w:hAnsi="宋体" w:cs="宋体"/>
              </w:rPr>
              <w:t>应急服务方案2</w:t>
            </w:r>
            <w:r>
              <w:rPr>
                <w:rFonts w:hint="eastAsia"/>
              </w:rPr>
              <w:t>均</w:t>
            </w:r>
            <w:r>
              <w:rPr>
                <w:rFonts w:hint="eastAsia" w:hAnsi="宋体" w:cs="宋体"/>
              </w:rPr>
              <w:t>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8</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应急服务方案2</w:t>
            </w:r>
          </w:p>
        </w:tc>
        <w:tc>
          <w:tcPr>
            <w:tcW w:w="3421" w:type="pct"/>
          </w:tcPr>
          <w:p>
            <w:pPr>
              <w:autoSpaceDN w:val="0"/>
              <w:snapToGrid w:val="0"/>
              <w:spacing w:line="360" w:lineRule="auto"/>
              <w:rPr>
                <w:rFonts w:ascii="宋体" w:hAnsi="宋体" w:cs="宋体"/>
                <w:color w:val="000000" w:themeColor="text1"/>
                <w:sz w:val="21"/>
                <w:szCs w:val="21"/>
                <w14:textFill>
                  <w14:solidFill>
                    <w14:schemeClr w14:val="tx1"/>
                  </w14:solidFill>
                </w14:textFill>
              </w:rPr>
            </w:pPr>
            <w:r>
              <w:rPr>
                <w:rFonts w:hint="eastAsia" w:ascii="宋体" w:hAnsi="宋体" w:cs="宋体"/>
              </w:rPr>
              <w:t>根据投标人提出的应急服务方案进行评审，优于采购需求的得8分，完全满足采购需求的得5分，部分满足采购需求得的2分，其他或未提供不得分。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cs="宋体"/>
                <w:color w:val="000000" w:themeColor="text1"/>
                <w:kern w:val="0"/>
                <w:sz w:val="2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9</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质量保证措施1</w:t>
            </w:r>
          </w:p>
        </w:tc>
        <w:tc>
          <w:tcPr>
            <w:tcW w:w="3421" w:type="pct"/>
            <w:vAlign w:val="center"/>
          </w:tcPr>
          <w:p>
            <w:pPr>
              <w:widowControl/>
              <w:autoSpaceDN w:val="0"/>
              <w:snapToGrid w:val="0"/>
              <w:spacing w:line="360" w:lineRule="auto"/>
              <w:rPr>
                <w:rFonts w:ascii="宋体" w:hAnsi="宋体" w:cs="宋体"/>
                <w:color w:val="000000" w:themeColor="text1"/>
                <w:sz w:val="21"/>
                <w:szCs w:val="21"/>
                <w14:textFill>
                  <w14:solidFill>
                    <w14:schemeClr w14:val="tx1"/>
                  </w14:solidFill>
                </w14:textFill>
              </w:rPr>
            </w:pPr>
            <w:r>
              <w:rPr>
                <w:rFonts w:hint="eastAsia" w:hAnsi="宋体" w:cs="宋体"/>
              </w:rPr>
              <w:t>根据采购需求第二章中的要求，对投标人提供的</w:t>
            </w:r>
            <w:r>
              <w:rPr>
                <w:rFonts w:hint="eastAsia" w:ascii="宋体" w:hAnsi="宋体" w:cs="宋体"/>
              </w:rPr>
              <w:t>质量保证措施</w:t>
            </w:r>
            <w:r>
              <w:rPr>
                <w:rFonts w:hint="eastAsia" w:hAnsi="宋体" w:cs="宋体"/>
              </w:rPr>
              <w:t>进行评分</w:t>
            </w:r>
            <w:r>
              <w:rPr>
                <w:rFonts w:hAnsi="宋体" w:cs="宋体"/>
              </w:rPr>
              <w:t>。</w:t>
            </w:r>
            <w:r>
              <w:rPr>
                <w:rFonts w:hint="eastAsia" w:hAnsi="宋体" w:cs="宋体"/>
              </w:rPr>
              <w:t>能完整提供上述方案的得2分。未能提供或提供不全的，本评分项及</w:t>
            </w:r>
            <w:r>
              <w:rPr>
                <w:rFonts w:hint="eastAsia" w:ascii="宋体" w:hAnsi="宋体" w:cs="宋体"/>
              </w:rPr>
              <w:t>质量保证措施2</w:t>
            </w:r>
            <w:r>
              <w:rPr>
                <w:rFonts w:hint="eastAsia"/>
              </w:rPr>
              <w:t>均</w:t>
            </w:r>
            <w:r>
              <w:rPr>
                <w:rFonts w:hint="eastAsia" w:hAnsi="宋体" w:cs="宋体"/>
              </w:rPr>
              <w:t>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05" w:type="pct"/>
            <w:vAlign w:val="center"/>
          </w:tcPr>
          <w:p>
            <w:pPr>
              <w:adjustRightInd w:val="0"/>
              <w:snapToGrid w:val="0"/>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10</w:t>
            </w:r>
          </w:p>
        </w:tc>
        <w:tc>
          <w:tcPr>
            <w:tcW w:w="865" w:type="pct"/>
            <w:vAlign w:val="center"/>
          </w:tcPr>
          <w:p>
            <w:pPr>
              <w:widowControl/>
              <w:autoSpaceDN w:val="0"/>
              <w:snapToGrid w:val="0"/>
              <w:spacing w:line="360" w:lineRule="auto"/>
              <w:rPr>
                <w:rFonts w:ascii="宋体" w:hAnsi="宋体" w:cs="宋体"/>
              </w:rPr>
            </w:pPr>
            <w:r>
              <w:rPr>
                <w:rFonts w:hint="eastAsia" w:ascii="宋体" w:hAnsi="宋体" w:cs="宋体"/>
              </w:rPr>
              <w:t>质量保证措施2</w:t>
            </w:r>
          </w:p>
        </w:tc>
        <w:tc>
          <w:tcPr>
            <w:tcW w:w="3421" w:type="pct"/>
          </w:tcPr>
          <w:p>
            <w:pPr>
              <w:autoSpaceDN w:val="0"/>
              <w:snapToGrid w:val="0"/>
              <w:spacing w:line="360" w:lineRule="auto"/>
              <w:rPr>
                <w:rFonts w:ascii="宋体" w:hAnsi="宋体" w:cs="宋体"/>
                <w:color w:val="000000" w:themeColor="text1"/>
                <w:sz w:val="21"/>
                <w:szCs w:val="21"/>
                <w14:textFill>
                  <w14:solidFill>
                    <w14:schemeClr w14:val="tx1"/>
                  </w14:solidFill>
                </w14:textFill>
              </w:rPr>
            </w:pPr>
            <w:r>
              <w:rPr>
                <w:rFonts w:hint="eastAsia" w:ascii="宋体" w:hAnsi="宋体" w:cs="宋体"/>
              </w:rPr>
              <w:t>根据投标人提出的质量保证措施进行评审，优于采购需求的得8分，完全满足采购需求的得5分，部分满足采购需求得的2分，其他或未提供不得分。</w:t>
            </w:r>
          </w:p>
        </w:tc>
        <w:tc>
          <w:tcPr>
            <w:tcW w:w="408" w:type="pct"/>
            <w:vAlign w:val="center"/>
          </w:tcPr>
          <w:p>
            <w:pPr>
              <w:adjustRightInd w:val="0"/>
              <w:snapToGrid w:val="0"/>
              <w:jc w:val="center"/>
              <w:rPr>
                <w:rFonts w:ascii="宋体"/>
                <w:bCs/>
                <w:color w:val="000000" w:themeColor="text1"/>
                <w:kern w:val="0"/>
                <w:sz w:val="21"/>
                <w:szCs w:val="21"/>
                <w14:textFill>
                  <w14:solidFill>
                    <w14:schemeClr w14:val="tx1"/>
                  </w14:solidFill>
                </w14:textFill>
              </w:rPr>
            </w:pPr>
            <w:r>
              <w:rPr>
                <w:rFonts w:hint="eastAsia" w:ascii="宋体" w:cs="宋体"/>
                <w:color w:val="000000" w:themeColor="text1"/>
                <w:kern w:val="0"/>
                <w:sz w:val="2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591" w:type="pct"/>
            <w:gridSpan w:val="3"/>
            <w:vAlign w:val="center"/>
          </w:tcPr>
          <w:p>
            <w:pPr>
              <w:adjustRightInd w:val="0"/>
              <w:snapToGrid w:val="0"/>
              <w:jc w:val="center"/>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合计</w:t>
            </w:r>
          </w:p>
        </w:tc>
        <w:tc>
          <w:tcPr>
            <w:tcW w:w="408" w:type="pct"/>
            <w:vAlign w:val="center"/>
          </w:tcPr>
          <w:p>
            <w:pPr>
              <w:adjustRightInd w:val="0"/>
              <w:snapToGrid w:val="0"/>
              <w:jc w:val="center"/>
              <w:rPr>
                <w:rFonts w:ascii="宋体"/>
                <w:bCs/>
                <w:color w:val="000000" w:themeColor="text1"/>
                <w:sz w:val="21"/>
                <w:szCs w:val="21"/>
                <w14:textFill>
                  <w14:solidFill>
                    <w14:schemeClr w14:val="tx1"/>
                  </w14:solidFill>
                </w14:textFill>
              </w:rPr>
            </w:pPr>
            <w:r>
              <w:rPr>
                <w:rFonts w:hint="eastAsia" w:ascii="宋体"/>
                <w:bCs/>
                <w:color w:val="000000" w:themeColor="text1"/>
                <w:sz w:val="21"/>
                <w:szCs w:val="21"/>
                <w14:textFill>
                  <w14:solidFill>
                    <w14:schemeClr w14:val="tx1"/>
                  </w14:solidFill>
                </w14:textFill>
              </w:rPr>
              <w:t>60</w:t>
            </w:r>
          </w:p>
        </w:tc>
      </w:tr>
    </w:tbl>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2.将所有评标委员会成员所评各项的得分进行算术平均（按四舍五入原则精确到小数点后两位），再汇总得出该投标人的技术评分（按四舍五入原则精确到小数点后两位）。</w:t>
      </w:r>
    </w:p>
    <w:p>
      <w:pPr>
        <w:pStyle w:val="5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  （四）商务评分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1.由评标委员会成员对所有有效投标文件的商务条件进行审核和评价，填写《商务评分表》，如下：</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1544"/>
        <w:gridCol w:w="6618"/>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17" w:type="pct"/>
            <w:vAlign w:val="center"/>
          </w:tcPr>
          <w:p>
            <w:pPr>
              <w:adjustRightInd w:val="0"/>
              <w:snapToGrid w:val="0"/>
              <w:jc w:val="center"/>
              <w:rPr>
                <w:rFonts w:ascii="宋体"/>
                <w:b/>
                <w:color w:val="000000" w:themeColor="text1"/>
                <w:szCs w:val="21"/>
                <w14:textFill>
                  <w14:solidFill>
                    <w14:schemeClr w14:val="tx1"/>
                  </w14:solidFill>
                </w14:textFill>
              </w:rPr>
            </w:pPr>
            <w:r>
              <w:rPr>
                <w:rFonts w:hint="eastAsia" w:ascii="宋体"/>
                <w:b/>
                <w:color w:val="000000" w:themeColor="text1"/>
                <w:szCs w:val="21"/>
                <w14:textFill>
                  <w14:solidFill>
                    <w14:schemeClr w14:val="tx1"/>
                  </w14:solidFill>
                </w14:textFill>
              </w:rPr>
              <w:t>序号</w:t>
            </w:r>
          </w:p>
        </w:tc>
        <w:tc>
          <w:tcPr>
            <w:tcW w:w="775" w:type="pct"/>
            <w:vAlign w:val="center"/>
          </w:tcPr>
          <w:p>
            <w:pPr>
              <w:adjustRightInd w:val="0"/>
              <w:snapToGrid w:val="0"/>
              <w:jc w:val="center"/>
              <w:rPr>
                <w:rFonts w:ascii="宋体"/>
                <w:b/>
                <w:color w:val="000000" w:themeColor="text1"/>
                <w:szCs w:val="21"/>
                <w14:textFill>
                  <w14:solidFill>
                    <w14:schemeClr w14:val="tx1"/>
                  </w14:solidFill>
                </w14:textFill>
              </w:rPr>
            </w:pPr>
            <w:r>
              <w:rPr>
                <w:rFonts w:hint="eastAsia" w:ascii="宋体"/>
                <w:b/>
                <w:color w:val="000000" w:themeColor="text1"/>
                <w:szCs w:val="21"/>
                <w14:textFill>
                  <w14:solidFill>
                    <w14:schemeClr w14:val="tx1"/>
                  </w14:solidFill>
                </w14:textFill>
              </w:rPr>
              <w:t>评审项目</w:t>
            </w:r>
          </w:p>
        </w:tc>
        <w:tc>
          <w:tcPr>
            <w:tcW w:w="3320" w:type="pct"/>
            <w:vAlign w:val="center"/>
          </w:tcPr>
          <w:p>
            <w:pPr>
              <w:adjustRightInd w:val="0"/>
              <w:snapToGrid w:val="0"/>
              <w:jc w:val="center"/>
              <w:rPr>
                <w:rFonts w:ascii="宋体"/>
                <w:b/>
                <w:color w:val="000000" w:themeColor="text1"/>
                <w:szCs w:val="21"/>
                <w14:textFill>
                  <w14:solidFill>
                    <w14:schemeClr w14:val="tx1"/>
                  </w14:solidFill>
                </w14:textFill>
              </w:rPr>
            </w:pPr>
            <w:r>
              <w:rPr>
                <w:rFonts w:hint="eastAsia" w:ascii="宋体"/>
                <w:b/>
                <w:color w:val="000000" w:themeColor="text1"/>
                <w:szCs w:val="21"/>
                <w14:textFill>
                  <w14:solidFill>
                    <w14:schemeClr w14:val="tx1"/>
                  </w14:solidFill>
                </w14:textFill>
              </w:rPr>
              <w:t>评审细则</w:t>
            </w:r>
          </w:p>
        </w:tc>
        <w:tc>
          <w:tcPr>
            <w:tcW w:w="486" w:type="pct"/>
            <w:vAlign w:val="center"/>
          </w:tcPr>
          <w:p>
            <w:pPr>
              <w:adjustRightInd w:val="0"/>
              <w:snapToGrid w:val="0"/>
              <w:jc w:val="center"/>
              <w:rPr>
                <w:rFonts w:ascii="宋体"/>
                <w:b/>
                <w:color w:val="000000" w:themeColor="text1"/>
                <w:szCs w:val="21"/>
                <w14:textFill>
                  <w14:solidFill>
                    <w14:schemeClr w14:val="tx1"/>
                  </w14:solidFill>
                </w14:textFill>
              </w:rPr>
            </w:pPr>
            <w:r>
              <w:rPr>
                <w:rFonts w:hint="eastAsia" w:ascii="宋体"/>
                <w:b/>
                <w:color w:val="000000" w:themeColor="text1"/>
                <w:szCs w:val="21"/>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17"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1</w:t>
            </w:r>
          </w:p>
        </w:tc>
        <w:tc>
          <w:tcPr>
            <w:tcW w:w="775" w:type="pct"/>
            <w:vAlign w:val="center"/>
          </w:tcPr>
          <w:p>
            <w:pPr>
              <w:pStyle w:val="75"/>
              <w:jc w:val="center"/>
              <w:rPr>
                <w:rFonts w:ascii="宋体" w:cs="黑体"/>
                <w:bCs/>
                <w:color w:val="000000" w:themeColor="text1"/>
                <w:kern w:val="2"/>
                <w:sz w:val="24"/>
                <w:szCs w:val="21"/>
                <w14:textFill>
                  <w14:solidFill>
                    <w14:schemeClr w14:val="tx1"/>
                  </w14:solidFill>
                </w14:textFill>
              </w:rPr>
            </w:pPr>
            <w:r>
              <w:rPr>
                <w:rFonts w:ascii="宋体" w:cs="黑体"/>
                <w:bCs/>
                <w:kern w:val="2"/>
                <w:sz w:val="24"/>
                <w:szCs w:val="21"/>
              </w:rPr>
              <w:t>同类项目业绩</w:t>
            </w:r>
          </w:p>
        </w:tc>
        <w:tc>
          <w:tcPr>
            <w:tcW w:w="3320" w:type="pct"/>
          </w:tcPr>
          <w:p>
            <w:pPr>
              <w:autoSpaceDN w:val="0"/>
              <w:snapToGrid w:val="0"/>
              <w:spacing w:line="360" w:lineRule="auto"/>
              <w:jc w:val="left"/>
              <w:rPr>
                <w:rFonts w:ascii="宋体" w:hAnsi="宋体" w:cs="宋体"/>
                <w:szCs w:val="24"/>
              </w:rPr>
            </w:pPr>
            <w:r>
              <w:rPr>
                <w:rFonts w:hint="eastAsia" w:ascii="宋体" w:hAnsi="宋体" w:cs="宋体"/>
                <w:szCs w:val="24"/>
              </w:rPr>
              <w:t>投标人2023年1月1日至提交投标文件截止时间（以合同签订日期为准），已完成的同类项目（同类项目是指：包含色谱、质谱、光谱类等）精密分析仪器设备维修与保养服务的项目）业绩经验的，每提供一项得</w:t>
            </w:r>
            <w:r>
              <w:rPr>
                <w:rFonts w:ascii="宋体" w:hAnsi="宋体" w:cs="宋体"/>
                <w:szCs w:val="24"/>
              </w:rPr>
              <w:t>1</w:t>
            </w:r>
            <w:r>
              <w:rPr>
                <w:rFonts w:hint="eastAsia" w:ascii="宋体" w:hAnsi="宋体" w:cs="宋体"/>
                <w:szCs w:val="24"/>
              </w:rPr>
              <w:t>分，最高得</w:t>
            </w:r>
            <w:r>
              <w:rPr>
                <w:rFonts w:ascii="宋体" w:hAnsi="宋体" w:cs="宋体"/>
                <w:szCs w:val="24"/>
              </w:rPr>
              <w:t>5</w:t>
            </w:r>
            <w:r>
              <w:rPr>
                <w:rFonts w:hint="eastAsia" w:ascii="宋体" w:hAnsi="宋体" w:cs="宋体"/>
                <w:szCs w:val="24"/>
              </w:rPr>
              <w:t>分。（分支机构投标的，总公司业绩纳入评审）。</w:t>
            </w:r>
          </w:p>
          <w:p>
            <w:pPr>
              <w:autoSpaceDN w:val="0"/>
              <w:snapToGrid w:val="0"/>
              <w:spacing w:line="360" w:lineRule="auto"/>
              <w:jc w:val="left"/>
              <w:rPr>
                <w:rFonts w:ascii="宋体" w:hAnsi="宋体" w:cs="宋体"/>
                <w:szCs w:val="24"/>
              </w:rPr>
            </w:pPr>
            <w:r>
              <w:rPr>
                <w:rFonts w:hint="eastAsia" w:ascii="宋体" w:hAnsi="宋体" w:cs="宋体"/>
                <w:szCs w:val="24"/>
              </w:rPr>
              <w:t>注：须同时附上合同关键页（含签订合同双方的单位名称、合同项目名称、合同清单/合同概况、与含签订合同双方的落款盖章、签订日期页）扫描件，关键页需体现业绩包含上述内容，建议用红框标注，无提供或提供不全或提供的证明材料不清晰明确，评委无法辨认的，则不得分。</w:t>
            </w:r>
          </w:p>
        </w:tc>
        <w:tc>
          <w:tcPr>
            <w:tcW w:w="486" w:type="pct"/>
            <w:vAlign w:val="center"/>
          </w:tcPr>
          <w:p>
            <w:pPr>
              <w:adjustRightInd w:val="0"/>
              <w:snapToGrid w:val="0"/>
              <w:jc w:val="center"/>
              <w:rPr>
                <w:rFonts w:ascii="宋体"/>
                <w:bCs/>
                <w:color w:val="000000" w:themeColor="text1"/>
                <w:szCs w:val="21"/>
                <w14:textFill>
                  <w14:solidFill>
                    <w14:schemeClr w14:val="tx1"/>
                  </w14:solidFill>
                </w14:textFill>
              </w:rPr>
            </w:pPr>
            <w:r>
              <w:rPr>
                <w:rFonts w:ascii="宋体"/>
                <w:bCs/>
                <w:color w:val="000000" w:themeColor="text1"/>
                <w:szCs w:val="21"/>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17"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2</w:t>
            </w:r>
          </w:p>
        </w:tc>
        <w:tc>
          <w:tcPr>
            <w:tcW w:w="775" w:type="pct"/>
            <w:vAlign w:val="center"/>
          </w:tcPr>
          <w:p>
            <w:pPr>
              <w:pStyle w:val="75"/>
              <w:jc w:val="center"/>
              <w:rPr>
                <w:rFonts w:ascii="宋体" w:cs="黑体"/>
                <w:bCs/>
                <w:color w:val="000000" w:themeColor="text1"/>
                <w:kern w:val="2"/>
                <w:sz w:val="24"/>
                <w:szCs w:val="21"/>
                <w14:textFill>
                  <w14:solidFill>
                    <w14:schemeClr w14:val="tx1"/>
                  </w14:solidFill>
                </w14:textFill>
              </w:rPr>
            </w:pPr>
            <w:r>
              <w:rPr>
                <w:rFonts w:ascii="宋体" w:cs="黑体"/>
                <w:bCs/>
                <w:kern w:val="2"/>
                <w:sz w:val="24"/>
                <w:szCs w:val="21"/>
              </w:rPr>
              <w:t>客户满意度情况</w:t>
            </w:r>
          </w:p>
        </w:tc>
        <w:tc>
          <w:tcPr>
            <w:tcW w:w="3320" w:type="pct"/>
          </w:tcPr>
          <w:p>
            <w:pPr>
              <w:autoSpaceDN w:val="0"/>
              <w:snapToGrid w:val="0"/>
              <w:spacing w:line="360" w:lineRule="auto"/>
              <w:jc w:val="left"/>
              <w:rPr>
                <w:rFonts w:ascii="宋体" w:hAnsi="宋体" w:cs="宋体"/>
                <w:szCs w:val="24"/>
              </w:rPr>
            </w:pPr>
            <w:r>
              <w:rPr>
                <w:rFonts w:hint="eastAsia" w:ascii="宋体" w:hAnsi="宋体" w:cs="宋体"/>
                <w:szCs w:val="24"/>
              </w:rPr>
              <w:t xml:space="preserve">投标人在本项目提供“同类项目业绩”中有获得合同的甲方单位对其服务质量评价，每有一项正面评价（优秀、优良、良好、满意或相当于类似评价）的评价得0.5分，须盖有合同的甲方单位公章（注：部门章、处室章等其他章有效），最高得2分。 </w:t>
            </w:r>
          </w:p>
          <w:p>
            <w:pPr>
              <w:autoSpaceDN w:val="0"/>
              <w:snapToGrid w:val="0"/>
              <w:spacing w:line="360" w:lineRule="auto"/>
              <w:jc w:val="left"/>
              <w:rPr>
                <w:rFonts w:ascii="宋体" w:hAnsi="宋体" w:cs="宋体"/>
                <w:szCs w:val="24"/>
              </w:rPr>
            </w:pPr>
            <w:r>
              <w:rPr>
                <w:rFonts w:hint="eastAsia" w:ascii="宋体" w:hAnsi="宋体" w:cs="宋体"/>
                <w:szCs w:val="24"/>
              </w:rPr>
              <w:t>注：①提供多个评价材料均为同一甲方单位的，只计算为一个评价；②如非经认定为有效项目业绩，则对应项目评价材料不得分。</w:t>
            </w:r>
          </w:p>
        </w:tc>
        <w:tc>
          <w:tcPr>
            <w:tcW w:w="486"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17"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3</w:t>
            </w:r>
          </w:p>
        </w:tc>
        <w:tc>
          <w:tcPr>
            <w:tcW w:w="775" w:type="pct"/>
            <w:vAlign w:val="center"/>
          </w:tcPr>
          <w:p>
            <w:pPr>
              <w:autoSpaceDN w:val="0"/>
              <w:snapToGrid w:val="0"/>
              <w:spacing w:line="300" w:lineRule="exact"/>
              <w:jc w:val="center"/>
              <w:rPr>
                <w:rFonts w:ascii="宋体" w:hAnsi="Calibri"/>
                <w:szCs w:val="21"/>
              </w:rPr>
            </w:pPr>
            <w:r>
              <w:rPr>
                <w:rFonts w:hint="eastAsia" w:ascii="宋体" w:hAnsi="宋体" w:cs="宋体"/>
              </w:rPr>
              <w:t>拟投入本</w:t>
            </w:r>
            <w:r>
              <w:rPr>
                <w:rFonts w:hint="eastAsia" w:ascii="宋体" w:hAnsi="宋体" w:cs="宋体"/>
                <w:szCs w:val="24"/>
              </w:rPr>
              <w:t>采购包</w:t>
            </w:r>
            <w:r>
              <w:rPr>
                <w:rFonts w:hint="eastAsia" w:ascii="宋体" w:hAnsi="宋体" w:cs="宋体"/>
              </w:rPr>
              <w:t>项目经理资质</w:t>
            </w:r>
          </w:p>
        </w:tc>
        <w:tc>
          <w:tcPr>
            <w:tcW w:w="3320" w:type="pct"/>
            <w:vAlign w:val="center"/>
          </w:tcPr>
          <w:p>
            <w:pPr>
              <w:autoSpaceDN w:val="0"/>
              <w:snapToGrid w:val="0"/>
              <w:spacing w:line="360" w:lineRule="auto"/>
              <w:jc w:val="left"/>
              <w:rPr>
                <w:rFonts w:ascii="宋体" w:hAnsi="宋体" w:cs="宋体"/>
                <w:szCs w:val="24"/>
              </w:rPr>
            </w:pPr>
            <w:r>
              <w:rPr>
                <w:rFonts w:hint="eastAsia" w:ascii="宋体" w:hAnsi="宋体" w:cs="宋体"/>
                <w:szCs w:val="24"/>
              </w:rPr>
              <w:t>拟投入本采购包项目经理资质（1名）拥有以下证书：</w:t>
            </w:r>
          </w:p>
          <w:p>
            <w:pPr>
              <w:autoSpaceDN w:val="0"/>
              <w:snapToGrid w:val="0"/>
              <w:spacing w:line="360" w:lineRule="auto"/>
              <w:jc w:val="left"/>
              <w:rPr>
                <w:rFonts w:ascii="宋体" w:hAnsi="宋体" w:cs="宋体"/>
                <w:szCs w:val="24"/>
              </w:rPr>
            </w:pPr>
            <w:r>
              <w:rPr>
                <w:rFonts w:hint="eastAsia" w:ascii="宋体" w:hAnsi="宋体" w:cs="宋体"/>
                <w:szCs w:val="24"/>
              </w:rPr>
              <w:t>1、具有8年及以上色谱、质谱、光谱类精密分析仪器类设备维修工作经验，得</w:t>
            </w:r>
            <w:r>
              <w:rPr>
                <w:rFonts w:ascii="宋体" w:hAnsi="宋体" w:cs="宋体"/>
                <w:szCs w:val="24"/>
              </w:rPr>
              <w:t>2</w:t>
            </w:r>
            <w:r>
              <w:rPr>
                <w:rFonts w:hint="eastAsia" w:ascii="宋体" w:hAnsi="宋体" w:cs="宋体"/>
                <w:szCs w:val="24"/>
              </w:rPr>
              <w:t>分；具有5年-8年（含5年、不含8年）色谱、质谱、光谱类精密分析仪器类设备维修工作经验，得</w:t>
            </w:r>
            <w:r>
              <w:rPr>
                <w:rFonts w:ascii="宋体" w:hAnsi="宋体" w:cs="宋体"/>
                <w:szCs w:val="24"/>
              </w:rPr>
              <w:t>1.5</w:t>
            </w:r>
            <w:r>
              <w:rPr>
                <w:rFonts w:hint="eastAsia" w:ascii="宋体" w:hAnsi="宋体" w:cs="宋体"/>
                <w:szCs w:val="24"/>
              </w:rPr>
              <w:t>分；具有3年-5年（含3年、不含5年）色谱、质谱、光谱类精密分析仪器类设备维修工作经验，得1分；其他不得分，本项不累计得分，按最高计算得分。</w:t>
            </w:r>
          </w:p>
          <w:p>
            <w:pPr>
              <w:autoSpaceDN w:val="0"/>
              <w:snapToGrid w:val="0"/>
              <w:spacing w:line="360" w:lineRule="auto"/>
              <w:jc w:val="left"/>
              <w:rPr>
                <w:rFonts w:ascii="宋体" w:hAnsi="宋体" w:cs="宋体"/>
                <w:szCs w:val="24"/>
              </w:rPr>
            </w:pPr>
            <w:r>
              <w:rPr>
                <w:rFonts w:hint="eastAsia" w:ascii="宋体" w:hAnsi="宋体" w:cs="宋体"/>
                <w:szCs w:val="24"/>
              </w:rPr>
              <w:t>2、具有机械或电气或仪器仪表类高级（或以上）职称，得2分；其他不得分。</w:t>
            </w:r>
          </w:p>
          <w:p>
            <w:pPr>
              <w:autoSpaceDN w:val="0"/>
              <w:snapToGrid w:val="0"/>
              <w:spacing w:line="360" w:lineRule="auto"/>
              <w:jc w:val="left"/>
              <w:rPr>
                <w:rFonts w:ascii="宋体" w:hAnsi="宋体" w:cs="宋体"/>
                <w:szCs w:val="24"/>
              </w:rPr>
            </w:pPr>
            <w:r>
              <w:rPr>
                <w:rFonts w:hint="eastAsia" w:ascii="宋体" w:hAnsi="宋体" w:cs="宋体"/>
                <w:szCs w:val="24"/>
              </w:rPr>
              <w:t>3、具有本科或以上学历，提供学历证书的，得1分；具有大专学历，提供学历证书的，得0.5分；本项不累计得分，按最高计算得分。</w:t>
            </w:r>
          </w:p>
          <w:p>
            <w:pPr>
              <w:autoSpaceDN w:val="0"/>
              <w:snapToGrid w:val="0"/>
              <w:spacing w:line="360" w:lineRule="auto"/>
              <w:jc w:val="left"/>
              <w:rPr>
                <w:rFonts w:ascii="宋体" w:hAnsi="宋体" w:cs="宋体"/>
                <w:szCs w:val="24"/>
              </w:rPr>
            </w:pPr>
            <w:r>
              <w:rPr>
                <w:rFonts w:hint="eastAsia" w:ascii="宋体" w:hAnsi="宋体" w:cs="宋体"/>
                <w:szCs w:val="24"/>
              </w:rPr>
              <w:t>以上3项累计得分最高5分；</w:t>
            </w:r>
          </w:p>
          <w:p>
            <w:pPr>
              <w:autoSpaceDN w:val="0"/>
              <w:snapToGrid w:val="0"/>
              <w:spacing w:line="360" w:lineRule="auto"/>
              <w:jc w:val="left"/>
              <w:rPr>
                <w:rFonts w:ascii="宋体" w:hAnsi="宋体" w:cs="宋体"/>
                <w:szCs w:val="24"/>
              </w:rPr>
            </w:pPr>
            <w:r>
              <w:rPr>
                <w:rFonts w:hint="eastAsia" w:ascii="宋体" w:hAnsi="宋体" w:cs="宋体"/>
                <w:szCs w:val="24"/>
              </w:rPr>
              <w:t>注：须提供上述人员的证书扫描件以及在投标人任职的外部证明材料（如加盖政府有关部门印章的打印日期在本项目投标截止日之前六个月内任意一个月的《投保单》或《社会保险参保人员证明》等，无提供的不得分。既往工作经验由投标人出具相关履历表或声明文件（声明内容应包含该人员从事对应工作内容的起止时间及所负责的工作内容），不同单位的劳动年限可累计。</w:t>
            </w:r>
          </w:p>
        </w:tc>
        <w:tc>
          <w:tcPr>
            <w:tcW w:w="486"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17"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4</w:t>
            </w:r>
          </w:p>
        </w:tc>
        <w:tc>
          <w:tcPr>
            <w:tcW w:w="775" w:type="pct"/>
            <w:vAlign w:val="center"/>
          </w:tcPr>
          <w:p>
            <w:pPr>
              <w:autoSpaceDN w:val="0"/>
              <w:snapToGrid w:val="0"/>
              <w:spacing w:line="300" w:lineRule="exact"/>
              <w:jc w:val="center"/>
              <w:rPr>
                <w:rFonts w:ascii="宋体" w:hAnsi="Calibri"/>
                <w:bCs/>
                <w:szCs w:val="21"/>
              </w:rPr>
            </w:pPr>
            <w:r>
              <w:rPr>
                <w:rFonts w:ascii="宋体" w:hAnsi="宋体" w:cs="宋体"/>
                <w:szCs w:val="24"/>
              </w:rPr>
              <w:t>拟投入</w:t>
            </w:r>
            <w:r>
              <w:rPr>
                <w:rFonts w:hint="eastAsia" w:ascii="宋体" w:hAnsi="宋体" w:cs="宋体"/>
                <w:szCs w:val="24"/>
              </w:rPr>
              <w:t>本采购包团队服务人员（除项目经理）资质</w:t>
            </w:r>
          </w:p>
        </w:tc>
        <w:tc>
          <w:tcPr>
            <w:tcW w:w="3320" w:type="pct"/>
            <w:vAlign w:val="center"/>
          </w:tcPr>
          <w:p>
            <w:pPr>
              <w:autoSpaceDN w:val="0"/>
              <w:snapToGrid w:val="0"/>
              <w:spacing w:line="360" w:lineRule="auto"/>
              <w:jc w:val="left"/>
              <w:rPr>
                <w:rFonts w:ascii="宋体" w:hAnsi="宋体" w:cs="宋体"/>
                <w:szCs w:val="24"/>
              </w:rPr>
            </w:pPr>
            <w:r>
              <w:rPr>
                <w:rFonts w:hint="eastAsia" w:ascii="宋体" w:hAnsi="宋体" w:cs="宋体"/>
                <w:szCs w:val="24"/>
              </w:rPr>
              <w:t>拟投入本采购包的团队服务人员中，具有：</w:t>
            </w:r>
          </w:p>
          <w:p>
            <w:pPr>
              <w:autoSpaceDN w:val="0"/>
              <w:snapToGrid w:val="0"/>
              <w:spacing w:line="360" w:lineRule="auto"/>
              <w:jc w:val="left"/>
              <w:rPr>
                <w:rFonts w:ascii="宋体" w:hAnsi="宋体" w:cs="宋体"/>
                <w:szCs w:val="24"/>
              </w:rPr>
            </w:pPr>
            <w:r>
              <w:rPr>
                <w:rFonts w:hint="eastAsia" w:ascii="宋体" w:hAnsi="宋体" w:cs="宋体"/>
                <w:szCs w:val="24"/>
              </w:rPr>
              <w:t>1.具有机械或电气或仪器仪表类相关专业中级及以上职称，每提供1人得</w:t>
            </w:r>
            <w:r>
              <w:rPr>
                <w:rFonts w:ascii="宋体" w:hAnsi="宋体" w:cs="宋体"/>
                <w:szCs w:val="24"/>
              </w:rPr>
              <w:t>1</w:t>
            </w:r>
            <w:r>
              <w:rPr>
                <w:rFonts w:hint="eastAsia" w:ascii="宋体" w:hAnsi="宋体" w:cs="宋体"/>
                <w:szCs w:val="24"/>
              </w:rPr>
              <w:t>.5分；本项最高得</w:t>
            </w:r>
            <w:r>
              <w:rPr>
                <w:rFonts w:ascii="宋体" w:hAnsi="宋体" w:cs="宋体"/>
                <w:szCs w:val="24"/>
              </w:rPr>
              <w:t>3</w:t>
            </w:r>
            <w:r>
              <w:rPr>
                <w:rFonts w:hint="eastAsia" w:ascii="宋体" w:hAnsi="宋体" w:cs="宋体"/>
                <w:szCs w:val="24"/>
              </w:rPr>
              <w:t>分。</w:t>
            </w:r>
          </w:p>
          <w:p>
            <w:pPr>
              <w:autoSpaceDN w:val="0"/>
              <w:snapToGrid w:val="0"/>
              <w:spacing w:line="360" w:lineRule="auto"/>
              <w:jc w:val="left"/>
              <w:rPr>
                <w:rFonts w:ascii="宋体" w:hAnsi="宋体" w:cs="宋体"/>
                <w:szCs w:val="24"/>
              </w:rPr>
            </w:pPr>
            <w:r>
              <w:rPr>
                <w:rFonts w:hint="eastAsia" w:ascii="宋体" w:hAnsi="宋体" w:cs="宋体"/>
                <w:szCs w:val="24"/>
              </w:rPr>
              <w:t>2.每提供1人具有3年及以上色谱、质谱、光谱类精密分析仪器类设备维修工作经验，得1.5分；本项最高得3分。</w:t>
            </w:r>
          </w:p>
          <w:p>
            <w:pPr>
              <w:autoSpaceDN w:val="0"/>
              <w:snapToGrid w:val="0"/>
              <w:spacing w:line="360" w:lineRule="auto"/>
              <w:jc w:val="left"/>
              <w:rPr>
                <w:rFonts w:ascii="宋体" w:hAnsi="宋体" w:cs="宋体"/>
                <w:szCs w:val="24"/>
              </w:rPr>
            </w:pPr>
          </w:p>
          <w:p>
            <w:pPr>
              <w:autoSpaceDN w:val="0"/>
              <w:snapToGrid w:val="0"/>
              <w:spacing w:line="360" w:lineRule="auto"/>
              <w:jc w:val="left"/>
              <w:rPr>
                <w:rFonts w:ascii="宋体" w:hAnsi="宋体" w:cs="宋体"/>
                <w:szCs w:val="24"/>
              </w:rPr>
            </w:pPr>
            <w:r>
              <w:rPr>
                <w:rFonts w:hint="eastAsia" w:ascii="宋体" w:hAnsi="宋体" w:cs="宋体"/>
                <w:szCs w:val="24"/>
              </w:rPr>
              <w:t>注：须提供上述人员的证书扫描件以及在投标人任职的外部证明材料（如加盖政府有关部门印章的打印日期在本项目投标截止日之前六个月内任意一个月的《投保单》或《社会保险参保人员证明》等，无提供的不得分。既往工作经验由投标人出具相关履历表或声明文件（声明内容应包含该人员从事对应工作内容的起止时间及所负责的工作内容），不同单位的劳动年限可累计。</w:t>
            </w:r>
          </w:p>
        </w:tc>
        <w:tc>
          <w:tcPr>
            <w:tcW w:w="486"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17"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5</w:t>
            </w:r>
          </w:p>
        </w:tc>
        <w:tc>
          <w:tcPr>
            <w:tcW w:w="775" w:type="pct"/>
            <w:vAlign w:val="center"/>
          </w:tcPr>
          <w:p>
            <w:pPr>
              <w:autoSpaceDN w:val="0"/>
              <w:snapToGrid w:val="0"/>
              <w:spacing w:line="300" w:lineRule="exact"/>
              <w:jc w:val="center"/>
              <w:rPr>
                <w:rFonts w:ascii="宋体" w:hAnsi="Calibri"/>
                <w:bCs/>
                <w:szCs w:val="21"/>
              </w:rPr>
            </w:pPr>
            <w:r>
              <w:rPr>
                <w:rFonts w:hint="eastAsia" w:ascii="宋体" w:hAnsi="宋体"/>
                <w:bCs/>
                <w:color w:val="000000"/>
                <w:szCs w:val="21"/>
              </w:rPr>
              <w:t xml:space="preserve">对非重大违法违规记录的扣分 </w:t>
            </w:r>
          </w:p>
        </w:tc>
        <w:tc>
          <w:tcPr>
            <w:tcW w:w="3320" w:type="pct"/>
            <w:vAlign w:val="center"/>
          </w:tcPr>
          <w:p>
            <w:pPr>
              <w:autoSpaceDN w:val="0"/>
              <w:snapToGrid w:val="0"/>
              <w:spacing w:line="360" w:lineRule="auto"/>
              <w:jc w:val="left"/>
              <w:rPr>
                <w:rFonts w:ascii="宋体" w:hAnsi="宋体" w:cs="宋体"/>
                <w:szCs w:val="24"/>
                <w:lang w:val="zh-CN"/>
              </w:rPr>
            </w:pPr>
            <w:r>
              <w:rPr>
                <w:rFonts w:hint="eastAsia" w:ascii="宋体" w:hAnsi="宋体" w:cs="宋体"/>
                <w:szCs w:val="24"/>
                <w:lang w:val="zh-CN"/>
              </w:rPr>
              <w:t>以</w:t>
            </w:r>
            <w:r>
              <w:rPr>
                <w:rFonts w:hint="eastAsia" w:ascii="宋体" w:hAnsi="宋体" w:cs="宋体"/>
                <w:szCs w:val="24"/>
              </w:rPr>
              <w:t>“</w:t>
            </w:r>
            <w:r>
              <w:rPr>
                <w:rFonts w:hint="eastAsia" w:ascii="宋体" w:hAnsi="宋体" w:cs="宋体"/>
                <w:szCs w:val="24"/>
                <w:lang w:val="zh-CN"/>
              </w:rPr>
              <w:t>信用中国</w:t>
            </w:r>
            <w:r>
              <w:rPr>
                <w:rFonts w:hint="eastAsia" w:ascii="宋体" w:hAnsi="宋体" w:cs="宋体"/>
                <w:szCs w:val="24"/>
              </w:rPr>
              <w:t>”（</w:t>
            </w:r>
            <w:r>
              <w:fldChar w:fldCharType="begin"/>
            </w:r>
            <w:r>
              <w:instrText xml:space="preserve"> HYPERLINK "http://www.creditchina.gov.cn/" </w:instrText>
            </w:r>
            <w:r>
              <w:fldChar w:fldCharType="separate"/>
            </w:r>
            <w:r>
              <w:rPr>
                <w:rFonts w:hint="eastAsia" w:ascii="宋体" w:hAnsi="宋体" w:cs="宋体"/>
                <w:szCs w:val="24"/>
              </w:rPr>
              <w:t>www.creditchina.gov.cn</w:t>
            </w:r>
            <w:r>
              <w:rPr>
                <w:rFonts w:hint="eastAsia" w:ascii="宋体" w:hAnsi="宋体" w:cs="宋体"/>
                <w:szCs w:val="24"/>
              </w:rPr>
              <w:fldChar w:fldCharType="end"/>
            </w:r>
            <w:r>
              <w:rPr>
                <w:rFonts w:hint="eastAsia" w:ascii="宋体" w:hAnsi="宋体" w:cs="宋体"/>
                <w:szCs w:val="24"/>
              </w:rPr>
              <w:t>）</w:t>
            </w:r>
            <w:r>
              <w:rPr>
                <w:rFonts w:hint="eastAsia" w:ascii="宋体" w:hAnsi="宋体" w:cs="宋体"/>
                <w:szCs w:val="24"/>
                <w:lang w:val="zh-CN"/>
              </w:rPr>
              <w:t>网站为查询渠道</w:t>
            </w:r>
            <w:r>
              <w:rPr>
                <w:rFonts w:hint="eastAsia" w:ascii="宋体" w:hAnsi="宋体" w:cs="宋体"/>
                <w:szCs w:val="24"/>
              </w:rPr>
              <w:t>：</w:t>
            </w:r>
            <w:r>
              <w:rPr>
                <w:rFonts w:hint="eastAsia" w:ascii="宋体" w:hAnsi="宋体" w:cs="宋体"/>
                <w:szCs w:val="24"/>
                <w:lang w:val="zh-CN"/>
              </w:rPr>
              <w:t>对列入行政处罚或经营异常的投标人每一条记录扣</w:t>
            </w:r>
            <w:r>
              <w:rPr>
                <w:rFonts w:ascii="宋体" w:hAnsi="宋体" w:cs="宋体"/>
                <w:szCs w:val="24"/>
              </w:rPr>
              <w:t>1</w:t>
            </w:r>
            <w:r>
              <w:rPr>
                <w:rFonts w:hint="eastAsia" w:ascii="宋体" w:hAnsi="宋体" w:cs="宋体"/>
                <w:szCs w:val="24"/>
                <w:lang w:val="zh-CN"/>
              </w:rPr>
              <w:t>分</w:t>
            </w:r>
            <w:r>
              <w:rPr>
                <w:rFonts w:hint="eastAsia" w:ascii="宋体" w:hAnsi="宋体" w:cs="宋体"/>
                <w:szCs w:val="24"/>
              </w:rPr>
              <w:t>，</w:t>
            </w:r>
            <w:r>
              <w:rPr>
                <w:rFonts w:hint="eastAsia" w:ascii="宋体" w:hAnsi="宋体" w:cs="宋体"/>
                <w:szCs w:val="24"/>
                <w:lang w:val="zh-CN"/>
              </w:rPr>
              <w:t>最高扣</w:t>
            </w:r>
            <w:r>
              <w:rPr>
                <w:rFonts w:ascii="宋体" w:hAnsi="宋体" w:cs="宋体"/>
                <w:szCs w:val="24"/>
              </w:rPr>
              <w:t>2</w:t>
            </w:r>
            <w:r>
              <w:rPr>
                <w:rFonts w:hint="eastAsia" w:ascii="宋体" w:hAnsi="宋体" w:cs="宋体"/>
                <w:szCs w:val="24"/>
                <w:lang w:val="zh-CN"/>
              </w:rPr>
              <w:t>分。如查询结果显示没有相关记录，视为没有上述非重大违法违规记录，则不扣分。以评标委员会于评审时在上述网站查询结果为准，评标委员会应将上述记录查询情况截图存档。注：总公司（总所）投标的，只查询总公司（总所）； 分支机构（分所）投标的，只查询该分支机构。</w:t>
            </w:r>
          </w:p>
        </w:tc>
        <w:tc>
          <w:tcPr>
            <w:tcW w:w="486" w:type="pct"/>
            <w:vAlign w:val="center"/>
          </w:tcPr>
          <w:p>
            <w:pPr>
              <w:adjustRightInd w:val="0"/>
              <w:snapToGrid w:val="0"/>
              <w:jc w:val="center"/>
              <w:rPr>
                <w:rFonts w:ascii="宋体"/>
                <w:bCs/>
                <w:color w:val="000000" w:themeColor="text1"/>
                <w:szCs w:val="21"/>
                <w14:textFill>
                  <w14:solidFill>
                    <w14:schemeClr w14:val="tx1"/>
                  </w14:solidFill>
                </w14:textFill>
              </w:rPr>
            </w:pPr>
            <w:r>
              <w:rPr>
                <w:rFonts w:ascii="宋体"/>
                <w:bCs/>
                <w:color w:val="000000" w:themeColor="text1"/>
                <w:szCs w:val="2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513" w:type="pct"/>
            <w:gridSpan w:val="3"/>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合计</w:t>
            </w:r>
          </w:p>
        </w:tc>
        <w:tc>
          <w:tcPr>
            <w:tcW w:w="486" w:type="pct"/>
            <w:vAlign w:val="center"/>
          </w:tcPr>
          <w:p>
            <w:pPr>
              <w:adjustRightInd w:val="0"/>
              <w:snapToGrid w:val="0"/>
              <w:jc w:val="center"/>
              <w:rPr>
                <w:rFonts w:ascii="宋体"/>
                <w:bCs/>
                <w:color w:val="000000" w:themeColor="text1"/>
                <w:szCs w:val="21"/>
                <w14:textFill>
                  <w14:solidFill>
                    <w14:schemeClr w14:val="tx1"/>
                  </w14:solidFill>
                </w14:textFill>
              </w:rPr>
            </w:pPr>
            <w:r>
              <w:rPr>
                <w:rFonts w:hint="eastAsia" w:ascii="宋体"/>
                <w:bCs/>
                <w:color w:val="000000" w:themeColor="text1"/>
                <w:szCs w:val="21"/>
                <w14:textFill>
                  <w14:solidFill>
                    <w14:schemeClr w14:val="tx1"/>
                  </w14:solidFill>
                </w14:textFill>
              </w:rPr>
              <w:t>20</w:t>
            </w:r>
          </w:p>
        </w:tc>
      </w:tr>
    </w:tbl>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说明：上表所列为投标人的商务条件。请投标人严格按照要求提交相关证明材料，否则有可能影响评审结果。</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2.将所有评标委员会成员所评各项的得分进行算术平均（按四舍五入原则精确到小数点后两位），再汇总得出该投标人的商务评分（按四舍五入原则精确到小数点后两位）。</w:t>
      </w:r>
    </w:p>
    <w:p>
      <w:pPr>
        <w:pStyle w:val="50"/>
        <w:rPr>
          <w:color w:val="000000" w:themeColor="text1"/>
          <w14:textFill>
            <w14:solidFill>
              <w14:schemeClr w14:val="tx1"/>
            </w14:solidFill>
          </w14:textFill>
        </w:rPr>
      </w:pPr>
      <w:r>
        <w:rPr>
          <w:rFonts w:hint="eastAsia"/>
          <w:color w:val="000000" w:themeColor="text1"/>
          <w14:textFill>
            <w14:solidFill>
              <w14:schemeClr w14:val="tx1"/>
            </w14:solidFill>
          </w14:textFill>
        </w:rPr>
        <w:t>  （五）价格评审</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1．价格核准：评标委员会成员对有效投标人的详细报价进行复核，看其是否有计算错误或供货范围上的错误，修正错误的原则参见本章的第三条第（二）点。</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计算价格评分：价格分统一采用低价优先法计算，各有效投标人的评标价（指投标报价经算术修正和落实政府采购政策需进行的价格扣除后的价格）中，取最低价为评标基准价，其价格分为满分。其他投标人的价格分统一按照下列公式计算：</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投标报价得分＝（评标基准价/投标报价）×20分（注：满足招标文件要求且投标价格最低的投标报价为评标基准价。）最低报价不是中标的唯一依据。【注：满足招标文件要求且“XXXX”报价最低的为评标基准价。如：投标报价XXXX 20%为报价最低，评标基准价为20%，得满分 】。因落实政府采购政策进行价格调整的，以调整后的价格计算评标基准价和投标报价。</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3.评标价仅用于计算价格评分，中标金额以实际投标价为准。</w:t>
      </w:r>
    </w:p>
    <w:p>
      <w:pPr>
        <w:pStyle w:val="25"/>
        <w:spacing w:before="75" w:after="75"/>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（六）政府采购政策落实</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1.节能、环保要求（本项目无节能、环保产品）</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相关认证机构和获证产品信息以市场监管总局组织建立的节能产品、环境标志产品认证结果信息发布平台公布为准。</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2.对小型、微型企业、监狱企业或残疾人福利性单位给予价格扣除（本项目不适用）</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w:t>
      </w:r>
      <w:r>
        <w:rPr>
          <w:rFonts w:hint="eastAsia"/>
        </w:rPr>
        <w:t xml:space="preserve"> </w:t>
      </w:r>
      <w:r>
        <w:rPr>
          <w:rFonts w:hint="eastAsia"/>
          <w:color w:val="000000" w:themeColor="text1"/>
          <w:shd w:val="clear" w:color="auto" w:fill="FFFFFF"/>
          <w14:textFill>
            <w14:solidFill>
              <w14:schemeClr w14:val="tx1"/>
            </w14:solidFill>
          </w14:textFill>
        </w:rPr>
        <w:t>对符合本国产品标准的产品给予价格扣除</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本项目对采购本国产品给予价格扣除的政策支持。</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本国产品标准的适用范围。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2）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 </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（3）对本国产品的支持政策。政府采购活动中既有本国产品又有非本国产品参与竞争的，依法对本国产品给予价格评审优惠，对本国产品的报价给予20%的价格扣除，用扣除后的价格参与评审。</w:t>
      </w:r>
    </w:p>
    <w:p>
      <w:pPr>
        <w:pStyle w:val="25"/>
        <w:spacing w:before="75" w:after="75"/>
        <w:ind w:firstLine="420"/>
        <w:rPr>
          <w:shd w:val="clear" w:color="auto" w:fill="FFFFFF"/>
        </w:rPr>
      </w:pPr>
      <w:r>
        <w:rPr>
          <w:rFonts w:hint="eastAsia"/>
          <w:color w:val="000000" w:themeColor="text1"/>
          <w:shd w:val="clear" w:color="auto" w:fill="FFFFFF"/>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shd w:val="clear" w:color="auto" w:fill="FFFFFF"/>
        </w:rPr>
        <w:t>。同时，若提供本国产品的供应商也符合政府采购支持中小企业政策、节能环保产品政策的，也按规定给予价格评审优惠。（如：某一供应商的产品报价500元，其提供的产品符合本国产品标准，同时按照采购文件规定也享受对小微企业的10%的价格扣除优惠和节能环保产品5%的价格扣除优惠。则对其报价按规定进行两次扣除，用扣除后的价格参与评审。其参与评审的价格为500-500×20%-500×10%-500×5%=325元）</w:t>
      </w:r>
    </w:p>
    <w:p>
      <w:pPr>
        <w:pStyle w:val="25"/>
        <w:spacing w:before="75" w:after="75"/>
        <w:ind w:firstLine="420"/>
        <w:rPr>
          <w:color w:val="000000" w:themeColor="text1"/>
          <w:shd w:val="clear" w:color="auto" w:fill="FFFFFF"/>
          <w14:textFill>
            <w14:solidFill>
              <w14:schemeClr w14:val="tx1"/>
            </w14:solidFill>
          </w14:textFill>
        </w:rPr>
      </w:pPr>
      <w:r>
        <w:rPr>
          <w:rFonts w:hint="eastAsia"/>
          <w:shd w:val="clear" w:color="auto" w:fill="FFFFFF"/>
        </w:rPr>
        <w:t>（4）认真审查有关证明文件。采购人应当在采购文件中明确对</w:t>
      </w:r>
      <w:r>
        <w:rPr>
          <w:rFonts w:hint="eastAsia"/>
          <w:color w:val="000000" w:themeColor="text1"/>
          <w:shd w:val="clear" w:color="auto" w:fill="FFFFFF"/>
          <w14:textFill>
            <w14:solidFill>
              <w14:schemeClr w14:val="tx1"/>
            </w14:solidFill>
          </w14:textFill>
        </w:rPr>
        <w:t>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25"/>
        <w:spacing w:before="75" w:after="75"/>
        <w:ind w:firstLine="420"/>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3.价格扣除相关要求</w:t>
      </w:r>
    </w:p>
    <w:p>
      <w:pPr>
        <w:pStyle w:val="75"/>
        <w:spacing w:line="360" w:lineRule="auto"/>
        <w:ind w:firstLine="482" w:firstLineChars="200"/>
        <w:outlineLvl w:val="3"/>
        <w:rPr>
          <w:rFonts w:ascii="宋体" w:hAnsi="宋体" w:cs="宋体"/>
          <w:sz w:val="24"/>
          <w:szCs w:val="24"/>
        </w:rPr>
      </w:pPr>
      <w:r>
        <w:rPr>
          <w:rFonts w:hint="eastAsia" w:ascii="宋体" w:hAnsi="宋体" w:cs="宋体"/>
          <w:b/>
          <w:sz w:val="24"/>
          <w:szCs w:val="24"/>
        </w:rPr>
        <w:t>对小型、微型企业、监狱企业或残疾人福利性单位给予价格扣除</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5"/>
        <w:gridCol w:w="2086"/>
        <w:gridCol w:w="2086"/>
        <w:gridCol w:w="1877"/>
        <w:gridCol w:w="333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575" w:type="dxa"/>
          </w:tcPr>
          <w:p>
            <w:pPr>
              <w:pStyle w:val="25"/>
              <w:spacing w:before="75" w:after="75"/>
              <w:rPr>
                <w:color w:val="000000"/>
                <w:shd w:val="clear" w:color="auto" w:fill="FFFFFF"/>
              </w:rPr>
            </w:pPr>
            <w:r>
              <w:rPr>
                <w:color w:val="000000"/>
                <w:shd w:val="clear" w:color="auto" w:fill="FFFFFF"/>
              </w:rPr>
              <w:t>序号</w:t>
            </w:r>
          </w:p>
        </w:tc>
        <w:tc>
          <w:tcPr>
            <w:tcW w:w="2086" w:type="dxa"/>
          </w:tcPr>
          <w:p>
            <w:pPr>
              <w:pStyle w:val="25"/>
              <w:spacing w:before="75" w:after="75"/>
              <w:jc w:val="center"/>
              <w:rPr>
                <w:color w:val="000000"/>
                <w:shd w:val="clear" w:color="auto" w:fill="FFFFFF"/>
              </w:rPr>
            </w:pPr>
            <w:r>
              <w:rPr>
                <w:color w:val="000000"/>
                <w:shd w:val="clear" w:color="auto" w:fill="FFFFFF"/>
              </w:rPr>
              <w:t>情形</w:t>
            </w:r>
          </w:p>
        </w:tc>
        <w:tc>
          <w:tcPr>
            <w:tcW w:w="2086" w:type="dxa"/>
          </w:tcPr>
          <w:p>
            <w:pPr>
              <w:pStyle w:val="25"/>
              <w:spacing w:before="75" w:after="75"/>
              <w:jc w:val="center"/>
              <w:rPr>
                <w:color w:val="000000"/>
                <w:shd w:val="clear" w:color="auto" w:fill="FFFFFF"/>
              </w:rPr>
            </w:pPr>
            <w:r>
              <w:rPr>
                <w:color w:val="000000"/>
                <w:shd w:val="clear" w:color="auto" w:fill="FFFFFF"/>
              </w:rPr>
              <w:t>适用对象</w:t>
            </w:r>
          </w:p>
        </w:tc>
        <w:tc>
          <w:tcPr>
            <w:tcW w:w="1877" w:type="dxa"/>
          </w:tcPr>
          <w:p>
            <w:pPr>
              <w:pStyle w:val="25"/>
              <w:spacing w:before="75" w:after="75"/>
              <w:jc w:val="center"/>
              <w:rPr>
                <w:color w:val="000000"/>
                <w:shd w:val="clear" w:color="auto" w:fill="FFFFFF"/>
              </w:rPr>
            </w:pPr>
            <w:r>
              <w:rPr>
                <w:color w:val="000000"/>
                <w:shd w:val="clear" w:color="auto" w:fill="FFFFFF"/>
              </w:rPr>
              <w:t>价格扣除比例</w:t>
            </w:r>
          </w:p>
        </w:tc>
        <w:tc>
          <w:tcPr>
            <w:tcW w:w="3338" w:type="dxa"/>
          </w:tcPr>
          <w:p>
            <w:pPr>
              <w:pStyle w:val="25"/>
              <w:spacing w:before="75" w:after="75"/>
              <w:jc w:val="center"/>
              <w:rPr>
                <w:color w:val="000000"/>
                <w:shd w:val="clear" w:color="auto" w:fill="FFFFFF"/>
              </w:rPr>
            </w:pPr>
            <w:r>
              <w:rPr>
                <w:color w:val="000000"/>
                <w:shd w:val="clear" w:color="auto" w:fill="FFFFFF"/>
              </w:rPr>
              <w:t>计算公式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575" w:type="dxa"/>
          </w:tcPr>
          <w:p>
            <w:pPr>
              <w:pStyle w:val="25"/>
              <w:spacing w:before="75" w:after="75"/>
              <w:rPr>
                <w:color w:val="000000"/>
                <w:shd w:val="clear" w:color="auto" w:fill="FFFFFF"/>
              </w:rPr>
            </w:pPr>
            <w:r>
              <w:rPr>
                <w:rFonts w:hint="eastAsia"/>
                <w:color w:val="000000"/>
                <w:shd w:val="clear" w:color="auto" w:fill="FFFFFF"/>
              </w:rPr>
              <w:t>1</w:t>
            </w:r>
          </w:p>
        </w:tc>
        <w:tc>
          <w:tcPr>
            <w:tcW w:w="2086" w:type="dxa"/>
            <w:tcBorders>
              <w:top w:val="single" w:color="auto" w:sz="2" w:space="0"/>
              <w:left w:val="single" w:color="auto" w:sz="2" w:space="0"/>
              <w:right w:val="single" w:color="auto" w:sz="2" w:space="0"/>
            </w:tcBorders>
          </w:tcPr>
          <w:p>
            <w:pPr>
              <w:pStyle w:val="25"/>
              <w:spacing w:before="75" w:after="75"/>
              <w:jc w:val="center"/>
              <w:rPr>
                <w:color w:val="000000"/>
                <w:shd w:val="clear" w:color="auto" w:fill="FFFFFF"/>
              </w:rPr>
            </w:pPr>
            <w:r>
              <w:rPr>
                <w:color w:val="000000"/>
                <w:shd w:val="clear" w:color="auto" w:fill="FFFFFF"/>
              </w:rPr>
              <w:t>小型、微型企业，监狱企业， 残疾人福利性单位</w:t>
            </w:r>
          </w:p>
        </w:tc>
        <w:tc>
          <w:tcPr>
            <w:tcW w:w="2086" w:type="dxa"/>
            <w:tcBorders>
              <w:top w:val="single" w:color="auto" w:sz="2" w:space="0"/>
              <w:left w:val="single" w:color="auto" w:sz="2" w:space="0"/>
              <w:right w:val="single" w:color="auto" w:sz="2" w:space="0"/>
            </w:tcBorders>
          </w:tcPr>
          <w:p>
            <w:pPr>
              <w:pStyle w:val="25"/>
              <w:spacing w:before="75" w:after="75"/>
              <w:jc w:val="center"/>
              <w:rPr>
                <w:color w:val="000000"/>
                <w:shd w:val="clear" w:color="auto" w:fill="FFFFFF"/>
              </w:rPr>
            </w:pPr>
            <w:r>
              <w:t>本项目服务全部为小型或微型企业承接</w:t>
            </w:r>
          </w:p>
        </w:tc>
        <w:tc>
          <w:tcPr>
            <w:tcW w:w="1877" w:type="dxa"/>
            <w:tcBorders>
              <w:top w:val="single" w:color="auto" w:sz="2" w:space="0"/>
              <w:left w:val="single" w:color="auto" w:sz="2" w:space="0"/>
              <w:right w:val="single" w:color="auto" w:sz="2" w:space="0"/>
            </w:tcBorders>
          </w:tcPr>
          <w:p>
            <w:pPr>
              <w:pStyle w:val="25"/>
              <w:spacing w:before="75" w:after="75"/>
              <w:jc w:val="center"/>
              <w:rPr>
                <w:color w:val="000000"/>
                <w:shd w:val="clear" w:color="auto" w:fill="FFFFFF"/>
              </w:rPr>
            </w:pPr>
            <w:r>
              <w:rPr>
                <w:rFonts w:hint="eastAsia"/>
                <w:color w:val="000000"/>
                <w:shd w:val="clear" w:color="auto" w:fill="FFFFFF"/>
              </w:rPr>
              <w:t>10%</w:t>
            </w:r>
          </w:p>
        </w:tc>
        <w:tc>
          <w:tcPr>
            <w:tcW w:w="3338" w:type="dxa"/>
          </w:tcPr>
          <w:p>
            <w:pPr>
              <w:pStyle w:val="25"/>
              <w:spacing w:before="75" w:after="75"/>
              <w:jc w:val="center"/>
              <w:rPr>
                <w:color w:val="000000"/>
                <w:shd w:val="clear" w:color="auto" w:fill="FFFFFF"/>
              </w:rPr>
            </w:pPr>
            <w:r>
              <w:rPr>
                <w:rFonts w:hint="eastAsia"/>
                <w:color w:val="000000"/>
                <w:shd w:val="clear" w:color="auto" w:fill="FFFFFF"/>
              </w:rPr>
              <w:t>服务由小型或微型企业承接，即提供服务的人员为小型或微型企业依照《中华人民共和国劳动合同法》订立劳动合同的从业人员时，给予10%的价格扣除C1，即：评标价=供应商报价×（1-C1）;监狱企业与残疾人福利性单位视同小型、微型企业，享受同等价格扣除，当企业属性重复时，不重复价格扣除。</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9962" w:type="dxa"/>
            <w:gridSpan w:val="5"/>
          </w:tcPr>
          <w:p>
            <w:pPr>
              <w:pStyle w:val="25"/>
              <w:spacing w:before="75" w:after="75"/>
              <w:ind w:firstLine="420"/>
              <w:rPr>
                <w:color w:val="000000"/>
              </w:rPr>
            </w:pPr>
            <w:r>
              <w:rPr>
                <w:color w:val="000000"/>
                <w:shd w:val="clear" w:color="auto" w:fill="FFFFFF"/>
              </w:rPr>
              <w:t>注：（1）上述评标价仅用于计算价格评分，</w:t>
            </w:r>
            <w:r>
              <w:rPr>
                <w:rFonts w:hint="eastAsia"/>
                <w:color w:val="000000"/>
                <w:shd w:val="clear" w:color="auto" w:fill="FFFFFF"/>
              </w:rPr>
              <w:t>中标</w:t>
            </w:r>
            <w:r>
              <w:rPr>
                <w:color w:val="000000"/>
                <w:shd w:val="clear" w:color="auto" w:fill="FFFFFF"/>
              </w:rPr>
              <w:t xml:space="preserve">金额以实际投标（响应）价为准。 </w:t>
            </w:r>
          </w:p>
        </w:tc>
      </w:tr>
    </w:tbl>
    <w:p>
      <w:pPr>
        <w:pStyle w:val="25"/>
        <w:spacing w:before="75" w:after="75"/>
        <w:ind w:firstLine="420"/>
        <w:rPr>
          <w:color w:val="000000"/>
          <w:shd w:val="clear" w:color="auto" w:fill="FFFFFF"/>
        </w:rPr>
      </w:pPr>
    </w:p>
    <w:p>
      <w:pPr>
        <w:pStyle w:val="25"/>
        <w:spacing w:before="75" w:after="75"/>
        <w:ind w:firstLine="420"/>
        <w:rPr>
          <w:color w:val="000000"/>
          <w:shd w:val="clear" w:color="auto" w:fill="FFFFFF"/>
        </w:rPr>
      </w:pPr>
      <w:r>
        <w:rPr>
          <w:rFonts w:hint="eastAsia"/>
          <w:color w:val="000000"/>
          <w:shd w:val="clear" w:color="auto" w:fill="FFFFFF"/>
        </w:rPr>
        <w:t>（1）所称小型和微型企业应当符合以下条件：</w:t>
      </w:r>
    </w:p>
    <w:p>
      <w:pPr>
        <w:pStyle w:val="25"/>
        <w:spacing w:before="75" w:after="75"/>
        <w:ind w:firstLine="420"/>
        <w:rPr>
          <w:color w:val="000000"/>
          <w:shd w:val="clear" w:color="auto" w:fill="FFFFFF"/>
        </w:rPr>
      </w:pPr>
      <w:r>
        <w:rPr>
          <w:rFonts w:hint="eastAsia"/>
          <w:color w:val="000000"/>
          <w:shd w:val="clear" w:color="auto" w:fill="FFFFFF"/>
        </w:rPr>
        <w:t>在中华人民共和国境内依法设立，依据国务院批准的中小企业划分标准确定的小型企业和微型企业，但与大企业的负责人为同一人，或者与大企业存在直接控股、管理关系的除外。</w:t>
      </w:r>
    </w:p>
    <w:p>
      <w:pPr>
        <w:pStyle w:val="25"/>
        <w:spacing w:before="75" w:after="75"/>
        <w:ind w:firstLine="420"/>
        <w:rPr>
          <w:color w:val="000000"/>
          <w:shd w:val="clear" w:color="auto" w:fill="FFFFFF"/>
        </w:rPr>
      </w:pPr>
      <w:r>
        <w:rPr>
          <w:rFonts w:hint="eastAsia"/>
          <w:color w:val="000000"/>
          <w:shd w:val="clear" w:color="auto" w:fill="FFFFFF"/>
        </w:rPr>
        <w:t>符合中小企业划分标准的个体工商户，在政府采购活动中视同中小企业。</w:t>
      </w:r>
    </w:p>
    <w:p>
      <w:pPr>
        <w:pStyle w:val="25"/>
        <w:spacing w:before="75" w:after="75"/>
        <w:ind w:firstLine="420"/>
        <w:rPr>
          <w:color w:val="000000"/>
          <w:shd w:val="clear" w:color="auto" w:fill="FFFFFF"/>
        </w:rPr>
      </w:pPr>
      <w:r>
        <w:rPr>
          <w:rFonts w:hint="eastAsia"/>
          <w:color w:val="000000"/>
          <w:shd w:val="clear" w:color="auto" w:fill="FFFFFF"/>
        </w:rPr>
        <w:t>提供本企业（属于小微企业）制造的货物或者提供其他小型或微型企业制造的货物/提供本企业（属于小微企业）承接的服务。</w:t>
      </w:r>
    </w:p>
    <w:p>
      <w:pPr>
        <w:pStyle w:val="25"/>
        <w:spacing w:before="75" w:after="75"/>
        <w:ind w:firstLine="420"/>
        <w:rPr>
          <w:color w:val="000000"/>
          <w:shd w:val="clear" w:color="auto" w:fill="FFFFFF"/>
        </w:rPr>
      </w:pPr>
      <w:r>
        <w:rPr>
          <w:rFonts w:hint="eastAsia"/>
          <w:color w:val="000000"/>
          <w:shd w:val="clear" w:color="auto" w:fill="FFFFFF"/>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25"/>
        <w:spacing w:before="75" w:after="75"/>
        <w:ind w:firstLine="420"/>
        <w:rPr>
          <w:color w:val="000000"/>
          <w:shd w:val="clear" w:color="auto" w:fill="FFFFFF"/>
        </w:rPr>
      </w:pPr>
      <w:r>
        <w:rPr>
          <w:rFonts w:hint="eastAsia"/>
          <w:color w:val="000000"/>
          <w:shd w:val="clear" w:color="auto" w:fill="FFFFFF"/>
        </w:rPr>
        <w:t>说明：投标人应当对其出具的《中小企业声明函》真实性负责，投标人出具的《中小企业声明函》内容不实的，属于提供虚假材料谋取中标。</w:t>
      </w:r>
    </w:p>
    <w:p>
      <w:pPr>
        <w:pStyle w:val="25"/>
        <w:spacing w:before="75" w:after="75"/>
        <w:ind w:firstLine="420"/>
        <w:rPr>
          <w:color w:val="000000"/>
          <w:shd w:val="clear" w:color="auto" w:fill="FFFFFF"/>
        </w:rPr>
      </w:pPr>
      <w:r>
        <w:rPr>
          <w:rFonts w:hint="eastAsia"/>
          <w:color w:val="000000"/>
          <w:shd w:val="clear" w:color="auto" w:fill="FFFFFF"/>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50"/>
        <w:rPr>
          <w:color w:val="000000" w:themeColor="text1"/>
          <w14:textFill>
            <w14:solidFill>
              <w14:schemeClr w14:val="tx1"/>
            </w14:solidFill>
          </w14:textFill>
        </w:rPr>
      </w:pPr>
      <w:r>
        <w:rPr>
          <w:rFonts w:hint="eastAsia"/>
          <w:color w:val="000000" w:themeColor="text1"/>
          <w14:textFill>
            <w14:solidFill>
              <w14:schemeClr w14:val="tx1"/>
            </w14:solidFill>
          </w14:textFill>
        </w:rPr>
        <w:t>（七）综合评分的计算</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1.综合评分=技术评分+商务评分+价格评分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2.各项得分按四舍五入原则精确到小数点后两位。</w:t>
      </w:r>
    </w:p>
    <w:p>
      <w:pPr>
        <w:pStyle w:val="50"/>
        <w:rPr>
          <w:color w:val="000000" w:themeColor="text1"/>
          <w14:textFill>
            <w14:solidFill>
              <w14:schemeClr w14:val="tx1"/>
            </w14:solidFill>
          </w14:textFill>
        </w:rPr>
      </w:pPr>
      <w:r>
        <w:rPr>
          <w:rFonts w:hint="eastAsia"/>
          <w:color w:val="000000" w:themeColor="text1"/>
          <w14:textFill>
            <w14:solidFill>
              <w14:schemeClr w14:val="tx1"/>
            </w14:solidFill>
          </w14:textFill>
        </w:rPr>
        <w:t>（八）中标候选人推荐</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pPr>
        <w:pStyle w:val="19"/>
        <w:spacing w:before="326" w:beforeLines="0" w:line="360" w:lineRule="auto"/>
        <w:ind w:firstLine="482" w:firstLineChars="200"/>
        <w:rPr>
          <w:rFonts w:ascii="宋体"/>
          <w:color w:val="000000" w:themeColor="text1"/>
          <w:szCs w:val="24"/>
          <w14:textFill>
            <w14:solidFill>
              <w14:schemeClr w14:val="tx1"/>
            </w14:solidFill>
          </w14:textFill>
        </w:rPr>
      </w:pPr>
      <w:r>
        <w:rPr>
          <w:rFonts w:hint="eastAsia" w:ascii="宋体"/>
          <w:color w:val="000000" w:themeColor="text1"/>
          <w:szCs w:val="24"/>
          <w14:textFill>
            <w14:solidFill>
              <w14:schemeClr w14:val="tx1"/>
            </w14:solidFill>
          </w14:textFill>
        </w:rPr>
        <w:t>六、项目废标处理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根据《政府采购法》第三十六条及招标文件的约定，本项目下列情况出现将作废标处理：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一）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（二）出现影响采购公正的违法、违规行为的。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xml:space="preserve">（三）投标人的报价均超过了采购预算，采购人不能支付的。 </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（四）因重大变故，采购任务取消的。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对经评审后废标的采购项目，评标委员会应出具采购文件是否存在不合理条款的论证意见。</w:t>
      </w:r>
    </w:p>
    <w:p>
      <w:pPr>
        <w:pStyle w:val="19"/>
        <w:spacing w:before="326" w:beforeLines="0" w:line="360" w:lineRule="auto"/>
        <w:ind w:firstLine="482" w:firstLineChars="200"/>
        <w:rPr>
          <w:rFonts w:ascii="宋体"/>
          <w:color w:val="000000" w:themeColor="text1"/>
          <w:szCs w:val="24"/>
          <w14:textFill>
            <w14:solidFill>
              <w14:schemeClr w14:val="tx1"/>
            </w14:solidFill>
          </w14:textFill>
        </w:rPr>
      </w:pPr>
      <w:r>
        <w:rPr>
          <w:rFonts w:hint="eastAsia" w:ascii="宋体"/>
          <w:color w:val="000000" w:themeColor="text1"/>
          <w:szCs w:val="24"/>
          <w14:textFill>
            <w14:solidFill>
              <w14:schemeClr w14:val="tx1"/>
            </w14:solidFill>
          </w14:textFill>
        </w:rPr>
        <w:t>七、定标</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采购代理机构应当在评标结束后2个工作日内将评标报告及《确认采购结果通知书》送采购人，采购人应当自收到评标报告之日起5个工作日内，在评标报告确定的中标候选人名单中按顺序确定中标人。</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第一中标候选人放弃中标或被依法认定中标无效的，采购人可以按顺序选择第二中标候选人。也可以重新开展政府采购活动。</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采购结果确认后，采购代理机构将中标结果在中国政府采购网（www.ccgp.gov.cn）和广州市政府采购中心采购综合管理服务平台网站（https://gzzfcg.gcycloud.cn/site/gzsaas/index.html）进行公告。不在中标名单之列者即为落标人，采购代理机构不再以其它方式另行通知。</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中标结果公告后，中标人须按招标文件第一章投标人须知的约定向采购代理机构支付公共资源交易服务费。采购代理机构完成支付确认后，采购人、中标人方可下载打印中标通知书。《中标通知书》将作为授予合同资格的唯一合法依据。</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中标人放弃中标的，应当依法承担相应的法律责任。</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凡发现中标人有下列行为之一的，将移交政府采购监督管理部门依法处理。</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提供虚假材料谋取中标的。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采取不正当手段诋毁、排挤其他供应商的。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3.</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与采购人、其他供应商或者采购代理机构工作人员恶意串通的。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4.</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向采购人、采购代理机构工作人员行贿或者提供其他不正当利益的。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5.</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在招标采购过程中与采购人进行协商谈判的。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6.</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拒绝有关部门监督检查或者提供虚假情况的。</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7.</w:t>
      </w:r>
      <w:r>
        <w:rPr>
          <w:rFonts w:hint="eastAsia"/>
          <w:color w:val="000000" w:themeColor="text1"/>
          <w:shd w:val="clear" w:color="auto" w:fill="FFFFFF"/>
          <w14:textFill>
            <w14:solidFill>
              <w14:schemeClr w14:val="tx1"/>
            </w14:solidFill>
          </w14:textFill>
        </w:rPr>
        <w:tab/>
      </w:r>
      <w:r>
        <w:rPr>
          <w:rFonts w:hint="eastAsia"/>
          <w:color w:val="000000" w:themeColor="text1"/>
          <w:shd w:val="clear" w:color="auto" w:fill="FFFFFF"/>
          <w14:textFill>
            <w14:solidFill>
              <w14:schemeClr w14:val="tx1"/>
            </w14:solidFill>
          </w14:textFill>
        </w:rPr>
        <w:t>有法律、法规规定的其他损害采购人利益和社会公共利益情形的。</w:t>
      </w:r>
    </w:p>
    <w:p>
      <w:pPr>
        <w:pStyle w:val="19"/>
        <w:spacing w:before="326" w:beforeLines="0" w:line="360" w:lineRule="auto"/>
        <w:ind w:firstLine="482" w:firstLineChars="200"/>
        <w:rPr>
          <w:rFonts w:ascii="宋体"/>
          <w:color w:val="000000" w:themeColor="text1"/>
          <w:szCs w:val="24"/>
          <w14:textFill>
            <w14:solidFill>
              <w14:schemeClr w14:val="tx1"/>
            </w14:solidFill>
          </w14:textFill>
        </w:rPr>
      </w:pPr>
      <w:r>
        <w:rPr>
          <w:rFonts w:hint="eastAsia" w:ascii="宋体"/>
          <w:color w:val="000000" w:themeColor="text1"/>
          <w:szCs w:val="24"/>
          <w14:textFill>
            <w14:solidFill>
              <w14:schemeClr w14:val="tx1"/>
            </w14:solidFill>
          </w14:textFill>
        </w:rPr>
        <w:t>八、签约和备案</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一）采购人应当自《中标通知书》发出之日起三十日（第二章采购需求有相应约定的从其约定）内，按照招标文件和中标人投标文件的约定，与中标人签订书面合同。所签订的合同不得对招标文件和中标人投标文件作实质性修改。</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（二）采购人不得与中标人私下订立背离合同实质性内容的协议。</w:t>
      </w:r>
    </w:p>
    <w:p>
      <w:pPr>
        <w:pStyle w:val="25"/>
        <w:spacing w:before="75" w:after="75"/>
        <w:ind w:firstLine="420"/>
        <w:jc w:val="both"/>
        <w:rPr>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（三）采购人应当自政府采购合同签订之日起2个工作日内，将政府采购合同在省级以上人民政府财政部门指定的媒体上公告，但政府采购合同中涉及国家秘密、商业秘密的内容除外。</w:t>
      </w:r>
    </w:p>
    <w:p>
      <w:pPr>
        <w:pStyle w:val="25"/>
        <w:spacing w:before="75" w:after="75"/>
        <w:ind w:firstLine="420"/>
      </w:pPr>
      <w:r>
        <w:rPr>
          <w:rFonts w:hint="eastAsia"/>
          <w:color w:val="000000" w:themeColor="text1"/>
          <w:shd w:val="clear" w:color="auto" w:fill="FFFFFF"/>
          <w14:textFill>
            <w14:solidFill>
              <w14:schemeClr w14:val="tx1"/>
            </w14:solidFill>
          </w14:textFill>
        </w:rPr>
        <w:t>（四）政府采购项目的采购合同自签订之日起7个工作日内，采购人应当将合同副本报同级政府采购监督管理部门和有关部门备案。</w:t>
      </w:r>
    </w:p>
    <w:p>
      <w:pPr>
        <w:spacing w:line="360" w:lineRule="auto"/>
        <w:ind w:firstLine="480" w:firstLineChars="200"/>
        <w:rPr>
          <w:rFonts w:ascii="宋体"/>
          <w:szCs w:val="24"/>
        </w:rPr>
        <w:sectPr>
          <w:pgSz w:w="11906" w:h="16838"/>
          <w:pgMar w:top="1440" w:right="1080" w:bottom="1440" w:left="1080" w:header="851" w:footer="992" w:gutter="0"/>
          <w:cols w:space="720" w:num="1"/>
          <w:docGrid w:type="lines" w:linePitch="326" w:charSpace="0"/>
        </w:sectPr>
      </w:pPr>
    </w:p>
    <w:p>
      <w:pPr>
        <w:pStyle w:val="49"/>
        <w:numPr>
          <w:ilvl w:val="0"/>
          <w:numId w:val="5"/>
        </w:numPr>
        <w:outlineLvl w:val="0"/>
        <w:rPr>
          <w:sz w:val="30"/>
        </w:rPr>
      </w:pPr>
      <w:r>
        <w:rPr>
          <w:rStyle w:val="33"/>
          <w:rFonts w:hint="eastAsia"/>
          <w:sz w:val="30"/>
        </w:rPr>
        <w:t>投标文件格式与要求</w:t>
      </w:r>
    </w:p>
    <w:p>
      <w:pPr>
        <w:pStyle w:val="49"/>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pPr>
        <w:pStyle w:val="49"/>
        <w:rPr>
          <w:color w:val="000000" w:themeColor="text1"/>
          <w14:textFill>
            <w14:solidFill>
              <w14:schemeClr w14:val="tx1"/>
            </w14:solidFill>
          </w14:textFill>
        </w:rPr>
      </w:pPr>
      <w:r>
        <w:rPr>
          <w:rFonts w:hint="eastAsia"/>
          <w:color w:val="000000" w:themeColor="text1"/>
          <w14:textFill>
            <w14:solidFill>
              <w14:schemeClr w14:val="tx1"/>
            </w14:solidFill>
          </w14:textFill>
        </w:rPr>
        <w:t>建议投标人按本章所述的格式要求进行编制投标文件</w:t>
      </w:r>
    </w:p>
    <w:p>
      <w:pPr>
        <w:pStyle w:val="49"/>
        <w:outlineLvl w:val="0"/>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投标文件封面</w:t>
      </w:r>
    </w:p>
    <w:p>
      <w:pPr>
        <w:pStyle w:val="49"/>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（项目名称）</w:t>
      </w:r>
    </w:p>
    <w:p>
      <w:pPr>
        <w:pStyle w:val="49"/>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投标文件封面</w:t>
      </w:r>
    </w:p>
    <w:p>
      <w:pPr>
        <w:pStyle w:val="49"/>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（正本/副本）</w:t>
      </w:r>
      <w:r>
        <w:rPr>
          <w:rFonts w:hint="eastAsia"/>
          <w:color w:val="000000" w:themeColor="text1"/>
          <w:sz w:val="30"/>
          <w14:textFill>
            <w14:solidFill>
              <w14:schemeClr w14:val="tx1"/>
            </w14:solidFill>
          </w14:textFill>
        </w:rPr>
        <w:br w:type="textWrapping"/>
      </w:r>
      <w:r>
        <w:rPr>
          <w:rFonts w:hint="eastAsia"/>
          <w:color w:val="000000" w:themeColor="text1"/>
          <w:sz w:val="30"/>
          <w14:textFill>
            <w14:solidFill>
              <w14:schemeClr w14:val="tx1"/>
            </w14:solidFill>
          </w14:textFill>
        </w:rPr>
        <w:br w:type="textWrapping"/>
      </w:r>
      <w:r>
        <w:rPr>
          <w:rFonts w:hint="eastAsia"/>
          <w:color w:val="000000" w:themeColor="text1"/>
          <w:sz w:val="30"/>
          <w14:textFill>
            <w14:solidFill>
              <w14:schemeClr w14:val="tx1"/>
            </w14:solidFill>
          </w14:textFill>
        </w:rPr>
        <w:br w:type="textWrapping"/>
      </w:r>
    </w:p>
    <w:p>
      <w:pPr>
        <w:pStyle w:val="49"/>
        <w:rPr>
          <w:color w:val="000000" w:themeColor="text1"/>
          <w:sz w:val="30"/>
          <w14:textFill>
            <w14:solidFill>
              <w14:schemeClr w14:val="tx1"/>
            </w14:solidFill>
          </w14:textFill>
        </w:rPr>
      </w:pPr>
    </w:p>
    <w:p>
      <w:pPr>
        <w:pStyle w:val="49"/>
        <w:outlineLvl w:val="0"/>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采购计划编号：XXXX</w:t>
      </w:r>
    </w:p>
    <w:p>
      <w:pPr>
        <w:pStyle w:val="49"/>
        <w:outlineLvl w:val="0"/>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采购项目编号：QCZ2026-</w:t>
      </w:r>
    </w:p>
    <w:p>
      <w:pPr>
        <w:pStyle w:val="49"/>
        <w:outlineLvl w:val="0"/>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（投标人名称）</w:t>
      </w:r>
    </w:p>
    <w:p>
      <w:pPr>
        <w:pStyle w:val="49"/>
        <w:outlineLvl w:val="0"/>
        <w:rPr>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年 月 日</w:t>
      </w:r>
    </w:p>
    <w:p>
      <w:pPr>
        <w:pStyle w:val="49"/>
        <w:jc w:val="both"/>
        <w:rPr>
          <w:color w:val="000000" w:themeColor="text1"/>
          <w:sz w:val="30"/>
          <w14:textFill>
            <w14:solidFill>
              <w14:schemeClr w14:val="tx1"/>
            </w14:solidFill>
          </w14:textFill>
        </w:rPr>
      </w:pPr>
    </w:p>
    <w:p>
      <w:pPr>
        <w:pStyle w:val="49"/>
        <w:jc w:val="both"/>
        <w:outlineLvl w:val="0"/>
        <w:rPr>
          <w:color w:val="000000" w:themeColor="text1"/>
          <w14:textFill>
            <w14:solidFill>
              <w14:schemeClr w14:val="tx1"/>
            </w14:solidFill>
          </w14:textFill>
        </w:rPr>
      </w:pPr>
      <w:r>
        <w:rPr>
          <w:rFonts w:hint="eastAsia"/>
          <w:b/>
          <w:color w:val="000000" w:themeColor="text1"/>
          <w14:textFill>
            <w14:solidFill>
              <w14:schemeClr w14:val="tx1"/>
            </w14:solidFill>
          </w14:textFill>
        </w:rPr>
        <w:t>投标文件目录</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一、投标函</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二、开标一览表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三、分项报价表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四、政策适用性说明</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五、关于符合本国产品标准的声明函等有关证明文件（本项目不适用）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六、实质性响应一览表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七、法定代表人证明书</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八、法定代表人授权书</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九、提供具有独立承担民事责任的能力的证明材料</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十、承诺函</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十一、中小企业声明函</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十二、监狱企业</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十三、残疾人福利性单位声明函</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十四、投标人业绩及客户满意度情况表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十五、项目负责人情况表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十六、重要技术指标响应表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十七、</w:t>
      </w:r>
      <w:r>
        <w:rPr>
          <w:rFonts w:hint="eastAsia"/>
        </w:rPr>
        <w:t>一般技术指标响应表、</w:t>
      </w:r>
      <w:r>
        <w:rPr>
          <w:rFonts w:hint="eastAsia"/>
          <w:color w:val="000000" w:themeColor="text1"/>
          <w14:textFill>
            <w14:solidFill>
              <w14:schemeClr w14:val="tx1"/>
            </w14:solidFill>
          </w14:textFill>
        </w:rPr>
        <w:t>商务条件响应表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十八、履约进度计划表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十九、各类证明材料</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二十、采购代理服务费支付承诺书</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二十一、需要采购人提供的附加条件</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二十二、</w:t>
      </w:r>
      <w:r>
        <w:rPr>
          <w:rFonts w:hint="eastAsia"/>
          <w:bCs/>
          <w:color w:val="000000" w:themeColor="text1"/>
          <w:szCs w:val="21"/>
          <w14:textFill>
            <w14:solidFill>
              <w14:schemeClr w14:val="tx1"/>
            </w14:solidFill>
          </w14:textFill>
        </w:rPr>
        <w:t>售后服务方案</w:t>
      </w:r>
      <w:r>
        <w:rPr>
          <w:rFonts w:hint="eastAsia"/>
          <w:color w:val="000000" w:themeColor="text1"/>
          <w14:textFill>
            <w14:solidFill>
              <w14:schemeClr w14:val="tx1"/>
            </w14:solidFill>
          </w14:textFill>
        </w:rPr>
        <w:t>、</w:t>
      </w:r>
      <w:r>
        <w:rPr>
          <w:rFonts w:hint="eastAsia"/>
          <w:bCs/>
          <w:color w:val="000000" w:themeColor="text1"/>
          <w:szCs w:val="21"/>
          <w14:textFill>
            <w14:solidFill>
              <w14:schemeClr w14:val="tx1"/>
            </w14:solidFill>
          </w14:textFill>
        </w:rPr>
        <w:t>包装、保险及发运、保管服务方案</w:t>
      </w:r>
      <w:r>
        <w:rPr>
          <w:rFonts w:hint="eastAsia"/>
          <w:color w:val="000000" w:themeColor="text1"/>
          <w14:textFill>
            <w14:solidFill>
              <w14:schemeClr w14:val="tx1"/>
            </w14:solidFill>
          </w14:textFill>
        </w:rPr>
        <w:t>等</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二十三、政府采购履约担保函</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二十四、质量保障承诺书</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二十五、初步审查自查表</w:t>
      </w:r>
    </w:p>
    <w:p>
      <w:pPr>
        <w:pStyle w:val="49"/>
        <w:jc w:val="both"/>
        <w:outlineLvl w:val="0"/>
        <w:rPr>
          <w:color w:val="000000" w:themeColor="text1"/>
          <w14:textFill>
            <w14:solidFill>
              <w14:schemeClr w14:val="tx1"/>
            </w14:solidFill>
          </w14:textFill>
        </w:rPr>
      </w:pPr>
      <w:r>
        <w:rPr>
          <w:rFonts w:hint="eastAsia"/>
          <w:color w:val="000000" w:themeColor="text1"/>
          <w14:textFill>
            <w14:solidFill>
              <w14:schemeClr w14:val="tx1"/>
            </w14:solidFill>
          </w14:textFill>
        </w:rPr>
        <w:t>二十六、技术评分、商务评分自查表</w:t>
      </w:r>
    </w:p>
    <w:p>
      <w:pPr>
        <w:pStyle w:val="49"/>
        <w:jc w:val="both"/>
        <w:outlineLvl w:val="0"/>
        <w:rPr>
          <w:color w:val="000000" w:themeColor="text1"/>
          <w14:textFill>
            <w14:solidFill>
              <w14:schemeClr w14:val="tx1"/>
            </w14:solidFill>
          </w14:textFill>
        </w:rPr>
        <w:sectPr>
          <w:pgSz w:w="11906" w:h="16838"/>
          <w:pgMar w:top="1440" w:right="1080" w:bottom="1440" w:left="1080" w:header="851" w:footer="992" w:gutter="0"/>
          <w:cols w:space="720" w:num="1"/>
          <w:docGrid w:type="lines" w:linePitch="326" w:charSpace="0"/>
        </w:sectPr>
      </w:pPr>
    </w:p>
    <w:p>
      <w:pPr>
        <w:pStyle w:val="75"/>
        <w:outlineLvl w:val="2"/>
      </w:pPr>
      <w:r>
        <w:rPr>
          <w:b/>
          <w:sz w:val="28"/>
        </w:rPr>
        <w:t>格式一：</w:t>
      </w:r>
    </w:p>
    <w:p>
      <w:pPr>
        <w:pStyle w:val="75"/>
        <w:jc w:val="center"/>
        <w:outlineLvl w:val="3"/>
      </w:pPr>
      <w:r>
        <w:rPr>
          <w:b/>
          <w:sz w:val="24"/>
        </w:rPr>
        <w:t>投标函</w:t>
      </w:r>
    </w:p>
    <w:p>
      <w:pPr>
        <w:pStyle w:val="75"/>
        <w:ind w:firstLine="480"/>
      </w:pPr>
      <w:r>
        <w:t xml:space="preserve"> 致：</w:t>
      </w:r>
      <w:r>
        <w:rPr>
          <w:u w:val="single"/>
        </w:rPr>
        <w:t>广州市政府采购中心</w:t>
      </w:r>
    </w:p>
    <w:p>
      <w:pPr>
        <w:pStyle w:val="75"/>
        <w:ind w:firstLine="480"/>
      </w:pPr>
      <w:r>
        <w:t xml:space="preserve"> 你方组织的</w:t>
      </w:r>
      <w:r>
        <w:rPr>
          <w:u w:val="single"/>
        </w:rPr>
        <w:t>“</w:t>
      </w:r>
      <w:r>
        <w:rPr>
          <w:rFonts w:hint="eastAsia"/>
          <w:sz w:val="21"/>
          <w:szCs w:val="21"/>
          <w:u w:val="single"/>
        </w:rPr>
        <w:t>广州海关技术中心2026年实验室仪器设备维保服务项目（三次）</w:t>
      </w:r>
      <w:r>
        <w:rPr>
          <w:u w:val="single"/>
        </w:rPr>
        <w:t>”</w:t>
      </w:r>
      <w:r>
        <w:rPr>
          <w:sz w:val="21"/>
          <w:szCs w:val="21"/>
          <w:u w:val="single"/>
        </w:rPr>
        <w:t>项目</w:t>
      </w:r>
      <w:r>
        <w:rPr>
          <w:rFonts w:hint="eastAsia"/>
          <w:sz w:val="21"/>
          <w:szCs w:val="21"/>
          <w:u w:val="single"/>
        </w:rPr>
        <w:t>子包X</w:t>
      </w:r>
      <w:r>
        <w:rPr>
          <w:sz w:val="21"/>
          <w:szCs w:val="21"/>
          <w:u w:val="single"/>
        </w:rPr>
        <w:t>的招标[采购</w:t>
      </w:r>
      <w:r>
        <w:t>项目编号为：</w:t>
      </w:r>
      <w:r>
        <w:rPr>
          <w:rFonts w:hint="eastAsia"/>
          <w:u w:val="single"/>
        </w:rPr>
        <w:t>QCZ2026-0026</w:t>
      </w:r>
      <w:r>
        <w:t>]，我方愿参与投标。</w:t>
      </w:r>
    </w:p>
    <w:p>
      <w:pPr>
        <w:pStyle w:val="75"/>
        <w:ind w:firstLine="480"/>
      </w:pPr>
      <w:r>
        <w:t>我方确认收到贵方提</w:t>
      </w:r>
      <w:r>
        <w:rPr>
          <w:sz w:val="21"/>
          <w:szCs w:val="21"/>
          <w:u w:val="single"/>
        </w:rPr>
        <w:t>供的</w:t>
      </w:r>
      <w:r>
        <w:rPr>
          <w:u w:val="single"/>
        </w:rPr>
        <w:t>“</w:t>
      </w:r>
      <w:r>
        <w:rPr>
          <w:rFonts w:hint="eastAsia"/>
          <w:sz w:val="21"/>
          <w:szCs w:val="21"/>
          <w:u w:val="single"/>
        </w:rPr>
        <w:t>广州海关技术中心2026年实验室仪器设备维保服务项目（三次）</w:t>
      </w:r>
      <w:r>
        <w:rPr>
          <w:u w:val="single"/>
        </w:rPr>
        <w:t>”</w:t>
      </w:r>
      <w:r>
        <w:rPr>
          <w:sz w:val="21"/>
          <w:szCs w:val="21"/>
          <w:u w:val="single"/>
        </w:rPr>
        <w:t>项目的招标</w:t>
      </w:r>
      <w:r>
        <w:t>文件的全部内容。</w:t>
      </w:r>
    </w:p>
    <w:p>
      <w:pPr>
        <w:pStyle w:val="75"/>
        <w:ind w:firstLine="480"/>
      </w:pPr>
      <w:r>
        <w:t xml:space="preserve"> 我方在参与投标前已详细研究了招标文件的所有内容，包括澄清、修改文件（如果有）和所有已提供的参考资料以及有关附件，我方完全明白并认为此招标文件没有倾向性，也不存在排斥潜在投标人的内容，我方同意招标文件的相关条款，放弃对招标文件提出误解和质疑的一切权利。</w:t>
      </w:r>
    </w:p>
    <w:p>
      <w:pPr>
        <w:pStyle w:val="75"/>
        <w:ind w:firstLine="480"/>
      </w:pPr>
      <w:r>
        <w:rPr>
          <w:u w:val="single"/>
        </w:rPr>
        <w:t>(投标人名称)</w:t>
      </w:r>
      <w:r>
        <w:t>作为投标人正式授权</w:t>
      </w:r>
      <w:r>
        <w:rPr>
          <w:u w:val="single"/>
        </w:rPr>
        <w:t>(授权代表全名,职务)</w:t>
      </w:r>
      <w:r>
        <w:t>代表我方全权处理有关本投标的一切事宜。</w:t>
      </w:r>
    </w:p>
    <w:p>
      <w:pPr>
        <w:pStyle w:val="75"/>
        <w:ind w:firstLine="480"/>
      </w:pPr>
      <w:r>
        <w:t>我方已完全明白招标文件的所有条款要求，并申明如下：</w:t>
      </w:r>
    </w:p>
    <w:p>
      <w:pPr>
        <w:pStyle w:val="75"/>
        <w:ind w:firstLine="480"/>
      </w:pPr>
      <w:r>
        <w:t xml:space="preserve"> （一）按招标文件提供的全部货物与相关服务的投标总价详见《开标一览表》。</w:t>
      </w:r>
    </w:p>
    <w:p>
      <w:pPr>
        <w:pStyle w:val="75"/>
        <w:ind w:firstLine="480"/>
      </w:pPr>
      <w:r>
        <w:t xml:space="preserve"> （二）本投标文件的有效期为从提交投标（响应）文件的截止之日起90日历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pPr>
        <w:pStyle w:val="75"/>
        <w:ind w:firstLine="480"/>
      </w:pPr>
      <w:r>
        <w:t xml:space="preserve"> （三）我方愿意向贵方提供任何与本项报价有关的数据、情况和技术资料。若贵方需要，我方愿意提供我方作出的一切承诺的证明材料。</w:t>
      </w:r>
    </w:p>
    <w:p>
      <w:pPr>
        <w:pStyle w:val="75"/>
        <w:ind w:firstLine="480"/>
      </w:pPr>
      <w:r>
        <w:t xml:space="preserve"> （四）我方理解贵方不一定接受最低投标价或任何贵方可能收到的投标。</w:t>
      </w:r>
    </w:p>
    <w:p>
      <w:pPr>
        <w:pStyle w:val="75"/>
        <w:ind w:firstLine="480"/>
      </w:pPr>
      <w:r>
        <w:t xml:space="preserve"> （五）我方如果中标，将保证履行招标文件及其澄清、修改文件（如果有）中的全部责任和义务，按质、按量、按期完成《采购需求》及《合同书》中的全部任务。</w:t>
      </w:r>
    </w:p>
    <w:p>
      <w:pPr>
        <w:pStyle w:val="75"/>
        <w:ind w:firstLine="480"/>
      </w:pPr>
      <w:r>
        <w:t xml:space="preserve"> （六）我方作为法律、财务和运作上独立于采购人、采购代理机构的投标人，在此保证所提交的所有文件和全部说明是真实的和正确的。</w:t>
      </w:r>
    </w:p>
    <w:p>
      <w:pPr>
        <w:pStyle w:val="75"/>
        <w:ind w:firstLine="480"/>
      </w:pPr>
      <w:r>
        <w:t xml:space="preserve"> （七）我方投标报价已包含应向知识产权所有权人支付的所有相关税费，并保证采购人在中国使用我方提供的货物或服务时，如有第三方提出侵犯其知识产权主张的，责任由我方承担。</w:t>
      </w:r>
    </w:p>
    <w:p>
      <w:pPr>
        <w:pStyle w:val="75"/>
        <w:ind w:firstLine="480"/>
      </w:pPr>
      <w:r>
        <w:t xml:space="preserve"> （八）我方接受采购人委托向贵方支付代理服务费，项目总报价已包含代理服务费，如果被确定为中标供应商，承诺向贵方足额支付。（若采购人支付代理服务费，则此条不适用）</w:t>
      </w:r>
    </w:p>
    <w:p>
      <w:pPr>
        <w:pStyle w:val="75"/>
        <w:ind w:firstLine="480"/>
      </w:pPr>
      <w:r>
        <w:t xml:space="preserve"> （九）我方与其他投标人不存在法定代表人或单位负责人为同一人或者存在直接控股、管理关系。</w:t>
      </w:r>
    </w:p>
    <w:p>
      <w:pPr>
        <w:pStyle w:val="75"/>
        <w:ind w:firstLine="480"/>
      </w:pPr>
      <w:r>
        <w:t xml:space="preserve"> （十）我方承诺未为本项目提供整体设计、规范编制或者项目管理、监理、检测等服务。</w:t>
      </w:r>
    </w:p>
    <w:p>
      <w:pPr>
        <w:pStyle w:val="75"/>
        <w:ind w:firstLine="480"/>
      </w:pPr>
      <w:r>
        <w:t>（十一）我方未被列入法院失信被执行人名单中。</w:t>
      </w:r>
    </w:p>
    <w:p>
      <w:pPr>
        <w:pStyle w:val="75"/>
        <w:ind w:firstLine="480"/>
      </w:pPr>
      <w:r>
        <w:t>（十二）我方承诺遵守《中华人民共和国民法典》有关规定和《中华人民共和国妇女权益保障法》中关于“劳动和社会保障权益”的有关要求。</w:t>
      </w:r>
    </w:p>
    <w:p>
      <w:pPr>
        <w:pStyle w:val="75"/>
        <w:ind w:firstLine="480"/>
      </w:pPr>
      <w:r>
        <w:t xml:space="preserve"> （十三）我方具备《中华人民共和国政府采购法》第二十二条规定的条件，承诺如下：</w:t>
      </w:r>
    </w:p>
    <w:p>
      <w:pPr>
        <w:pStyle w:val="75"/>
        <w:ind w:firstLine="480"/>
      </w:pPr>
      <w:r>
        <w:t xml:space="preserve"> （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pPr>
        <w:pStyle w:val="75"/>
        <w:ind w:firstLine="480"/>
      </w:pPr>
      <w:r>
        <w:t xml:space="preserve"> （2）我方符合法律、行政法规规定的其他条件。</w:t>
      </w:r>
    </w:p>
    <w:p>
      <w:pPr>
        <w:pStyle w:val="75"/>
        <w:ind w:firstLine="480"/>
      </w:pPr>
      <w:r>
        <w:t>以上内容如有虚假或与事实不符的，评标委员会可将我方做无效投标处理，我方愿意承担相应的法律责任。</w:t>
      </w:r>
    </w:p>
    <w:p>
      <w:pPr>
        <w:pStyle w:val="75"/>
        <w:ind w:firstLine="480"/>
      </w:pPr>
      <w:r>
        <w:t xml:space="preserve"> （十四）我方对在本函及投标文件中所作的所有承诺承担法律责任。</w:t>
      </w:r>
    </w:p>
    <w:p>
      <w:pPr>
        <w:pStyle w:val="75"/>
        <w:ind w:firstLine="480"/>
      </w:pPr>
      <w:r>
        <w:t xml:space="preserve"> （十五）所有与本招标有关的函件请发往下列地址：</w:t>
      </w:r>
    </w:p>
    <w:p>
      <w:pPr>
        <w:pStyle w:val="75"/>
        <w:ind w:firstLine="480"/>
      </w:pPr>
      <w:r>
        <w:t xml:space="preserve"> 地 址：__________________邮政编码：__________________</w:t>
      </w:r>
    </w:p>
    <w:p>
      <w:pPr>
        <w:pStyle w:val="75"/>
        <w:ind w:firstLine="480"/>
      </w:pPr>
      <w:r>
        <w:t xml:space="preserve"> 电 话：__________________</w:t>
      </w:r>
    </w:p>
    <w:p>
      <w:pPr>
        <w:pStyle w:val="75"/>
        <w:ind w:firstLine="480"/>
      </w:pPr>
      <w:r>
        <w:t xml:space="preserve"> 传 真：__________________</w:t>
      </w:r>
    </w:p>
    <w:p>
      <w:pPr>
        <w:pStyle w:val="75"/>
        <w:ind w:firstLine="480"/>
      </w:pPr>
      <w:r>
        <w:t xml:space="preserve"> 代表姓名：__________________职 务：__________________</w:t>
      </w:r>
    </w:p>
    <w:p>
      <w:pPr>
        <w:pStyle w:val="75"/>
        <w:ind w:firstLine="480"/>
      </w:pPr>
      <w:r>
        <w:t xml:space="preserve"> 投标人法定代表人（或法定代表人授权代表）签字或盖章：__________________</w:t>
      </w:r>
    </w:p>
    <w:p>
      <w:pPr>
        <w:pStyle w:val="75"/>
      </w:pPr>
      <w:r>
        <w:t xml:space="preserve"> 投标人名称（盖章）：__________________</w:t>
      </w:r>
    </w:p>
    <w:p>
      <w:pPr>
        <w:pStyle w:val="75"/>
      </w:pPr>
      <w:r>
        <w:t xml:space="preserve"> 日期： 年 月 日</w:t>
      </w:r>
    </w:p>
    <w:p>
      <w:pPr>
        <w:pStyle w:val="75"/>
        <w:ind w:firstLine="480"/>
      </w:pPr>
    </w:p>
    <w:p>
      <w:pPr>
        <w:pStyle w:val="75"/>
        <w:outlineLvl w:val="2"/>
      </w:pPr>
      <w:r>
        <w:rPr>
          <w:b/>
          <w:sz w:val="28"/>
        </w:rPr>
        <w:t>格式二：</w:t>
      </w:r>
    </w:p>
    <w:p>
      <w:pPr>
        <w:pStyle w:val="75"/>
        <w:jc w:val="center"/>
        <w:outlineLvl w:val="3"/>
      </w:pPr>
      <w:r>
        <w:rPr>
          <w:b/>
          <w:sz w:val="24"/>
        </w:rPr>
        <w:t>开标一览表</w:t>
      </w:r>
    </w:p>
    <w:p>
      <w:pPr>
        <w:pStyle w:val="75"/>
        <w:ind w:firstLine="480"/>
      </w:pPr>
      <w: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type="textWrapping"/>
      </w:r>
    </w:p>
    <w:p>
      <w:pPr>
        <w:pStyle w:val="75"/>
        <w:ind w:firstLine="480"/>
      </w:pPr>
      <w:r>
        <w:t>采购项目编号：</w:t>
      </w:r>
    </w:p>
    <w:p>
      <w:pPr>
        <w:pStyle w:val="75"/>
        <w:ind w:firstLine="480"/>
      </w:pPr>
      <w:r>
        <w:t>项目名称：</w:t>
      </w:r>
    </w:p>
    <w:p>
      <w:pPr>
        <w:pStyle w:val="75"/>
        <w:ind w:firstLine="480"/>
      </w:pPr>
      <w:r>
        <w:t>投标人名称：</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661" w:type="dxa"/>
          </w:tcPr>
          <w:p>
            <w:pPr>
              <w:pStyle w:val="75"/>
            </w:pPr>
            <w:r>
              <w:t xml:space="preserve"> 序号</w:t>
            </w:r>
          </w:p>
        </w:tc>
        <w:tc>
          <w:tcPr>
            <w:tcW w:w="1661" w:type="dxa"/>
          </w:tcPr>
          <w:p>
            <w:pPr>
              <w:pStyle w:val="75"/>
            </w:pPr>
            <w:r>
              <w:t xml:space="preserve"> 采购项目名称</w:t>
            </w:r>
          </w:p>
        </w:tc>
        <w:tc>
          <w:tcPr>
            <w:tcW w:w="1661" w:type="dxa"/>
          </w:tcPr>
          <w:p>
            <w:pPr>
              <w:pStyle w:val="75"/>
            </w:pPr>
            <w:r>
              <w:t xml:space="preserve"> 投标报价（元）</w:t>
            </w:r>
          </w:p>
        </w:tc>
        <w:tc>
          <w:tcPr>
            <w:tcW w:w="1661" w:type="dxa"/>
          </w:tcPr>
          <w:p>
            <w:pPr>
              <w:pStyle w:val="75"/>
            </w:pPr>
            <w:r>
              <w:t xml:space="preserve"> 交货或服务期</w:t>
            </w:r>
          </w:p>
        </w:tc>
        <w:tc>
          <w:tcPr>
            <w:tcW w:w="1661" w:type="dxa"/>
          </w:tcPr>
          <w:p>
            <w:pPr>
              <w:pStyle w:val="75"/>
            </w:pPr>
            <w:r>
              <w:t xml:space="preserve"> 交货或服务地点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1661" w:type="dxa"/>
          </w:tcPr>
          <w:p>
            <w:pPr>
              <w:pStyle w:val="75"/>
            </w:pPr>
            <w:r>
              <w:t xml:space="preserve"> 1</w:t>
            </w:r>
          </w:p>
        </w:tc>
        <w:tc>
          <w:tcPr>
            <w:tcW w:w="1661" w:type="dxa"/>
            <w:tcBorders>
              <w:top w:val="single" w:color="auto" w:sz="2" w:space="0"/>
              <w:left w:val="single" w:color="auto" w:sz="2" w:space="0"/>
              <w:right w:val="single" w:color="auto" w:sz="2" w:space="0"/>
            </w:tcBorders>
          </w:tcPr>
          <w:p/>
        </w:tc>
        <w:tc>
          <w:tcPr>
            <w:tcW w:w="1661" w:type="dxa"/>
            <w:tcBorders>
              <w:top w:val="single" w:color="auto" w:sz="2" w:space="0"/>
              <w:left w:val="single" w:color="auto" w:sz="2" w:space="0"/>
              <w:right w:val="single" w:color="auto" w:sz="2" w:space="0"/>
            </w:tcBorders>
          </w:tcPr>
          <w:p/>
        </w:tc>
        <w:tc>
          <w:tcPr>
            <w:tcW w:w="1661" w:type="dxa"/>
            <w:tcBorders>
              <w:top w:val="single" w:color="auto" w:sz="2" w:space="0"/>
              <w:left w:val="single" w:color="auto" w:sz="2" w:space="0"/>
              <w:right w:val="single" w:color="auto" w:sz="2" w:space="0"/>
            </w:tcBorders>
          </w:tcPr>
          <w:p/>
        </w:tc>
        <w:tc>
          <w:tcPr>
            <w:tcW w:w="1661" w:type="dxa"/>
          </w:tcPr>
          <w:p/>
        </w:tc>
      </w:tr>
    </w:tbl>
    <w:p>
      <w:pPr>
        <w:pStyle w:val="75"/>
      </w:pPr>
      <w:r>
        <w:t xml:space="preserve"> 投标人签章：__________________</w:t>
      </w:r>
    </w:p>
    <w:p>
      <w:pPr>
        <w:pStyle w:val="75"/>
      </w:pPr>
      <w:r>
        <w:t>日期： 年 月 日</w:t>
      </w:r>
    </w:p>
    <w:p>
      <w:pPr>
        <w:pStyle w:val="75"/>
        <w:ind w:firstLine="480"/>
      </w:pPr>
    </w:p>
    <w:p>
      <w:pPr>
        <w:pStyle w:val="75"/>
        <w:outlineLvl w:val="2"/>
      </w:pPr>
      <w:r>
        <w:rPr>
          <w:b/>
          <w:sz w:val="28"/>
        </w:rPr>
        <w:t>格式三：</w:t>
      </w:r>
    </w:p>
    <w:p>
      <w:pPr>
        <w:pStyle w:val="75"/>
        <w:jc w:val="center"/>
        <w:outlineLvl w:val="3"/>
      </w:pPr>
      <w:r>
        <w:rPr>
          <w:b/>
          <w:sz w:val="24"/>
        </w:rPr>
        <w:t>分项报价表</w:t>
      </w:r>
    </w:p>
    <w:p>
      <w:pPr>
        <w:spacing w:line="500" w:lineRule="exact"/>
        <w:ind w:firstLine="400" w:firstLineChars="200"/>
        <w:jc w:val="left"/>
        <w:rPr>
          <w:rFonts w:ascii="Calibri" w:hAnsi="Calibri" w:cs="Arial"/>
          <w:kern w:val="0"/>
          <w:sz w:val="20"/>
          <w:szCs w:val="20"/>
        </w:rPr>
      </w:pPr>
      <w:r>
        <w:rPr>
          <w:rFonts w:hint="eastAsia" w:ascii="Calibri" w:hAnsi="Calibri" w:cs="Arial"/>
          <w:kern w:val="0"/>
          <w:sz w:val="20"/>
          <w:szCs w:val="20"/>
        </w:rPr>
        <w:t>采购项目编号：</w:t>
      </w:r>
    </w:p>
    <w:p>
      <w:pPr>
        <w:spacing w:line="500" w:lineRule="exact"/>
        <w:ind w:firstLine="404" w:firstLineChars="202"/>
        <w:jc w:val="left"/>
        <w:rPr>
          <w:rFonts w:ascii="Calibri" w:hAnsi="Calibri" w:cs="Arial"/>
          <w:kern w:val="0"/>
          <w:sz w:val="20"/>
          <w:szCs w:val="20"/>
        </w:rPr>
      </w:pPr>
      <w:r>
        <w:rPr>
          <w:rFonts w:hint="eastAsia" w:ascii="Calibri" w:hAnsi="Calibri" w:cs="Arial"/>
          <w:kern w:val="0"/>
          <w:sz w:val="20"/>
          <w:szCs w:val="20"/>
        </w:rPr>
        <w:t>项目名称：</w:t>
      </w:r>
    </w:p>
    <w:p>
      <w:pPr>
        <w:spacing w:line="500" w:lineRule="exact"/>
        <w:ind w:firstLine="404" w:firstLineChars="202"/>
        <w:jc w:val="left"/>
        <w:rPr>
          <w:rFonts w:ascii="Calibri" w:hAnsi="Calibri" w:cs="Arial"/>
          <w:kern w:val="0"/>
          <w:sz w:val="20"/>
          <w:szCs w:val="20"/>
        </w:rPr>
      </w:pPr>
      <w:r>
        <w:rPr>
          <w:rFonts w:hint="eastAsia" w:ascii="Calibri" w:hAnsi="Calibri" w:cs="Arial"/>
          <w:kern w:val="0"/>
          <w:sz w:val="20"/>
          <w:szCs w:val="20"/>
        </w:rPr>
        <w:t>投标人名称：</w:t>
      </w:r>
    </w:p>
    <w:p>
      <w:pPr>
        <w:spacing w:line="500" w:lineRule="exact"/>
        <w:ind w:firstLine="404" w:firstLineChars="202"/>
        <w:jc w:val="left"/>
        <w:rPr>
          <w:rFonts w:ascii="Calibri" w:hAnsi="Calibri" w:cs="Arial"/>
          <w:kern w:val="0"/>
          <w:sz w:val="20"/>
          <w:szCs w:val="20"/>
        </w:rPr>
      </w:pPr>
      <w:r>
        <w:rPr>
          <w:rFonts w:hint="eastAsia" w:ascii="Calibri" w:hAnsi="Calibri" w:cs="Arial"/>
          <w:kern w:val="0"/>
          <w:sz w:val="20"/>
          <w:szCs w:val="20"/>
        </w:rPr>
        <w:t>采购包：</w:t>
      </w:r>
    </w:p>
    <w:p>
      <w:pPr>
        <w:spacing w:line="500" w:lineRule="exact"/>
        <w:ind w:firstLine="404" w:firstLineChars="202"/>
        <w:jc w:val="left"/>
        <w:rPr>
          <w:rFonts w:ascii="Calibri" w:hAnsi="Calibri" w:cs="Arial"/>
          <w:kern w:val="0"/>
          <w:sz w:val="20"/>
          <w:szCs w:val="20"/>
        </w:rPr>
      </w:pPr>
      <w:r>
        <w:rPr>
          <w:rFonts w:hint="eastAsia" w:ascii="Calibri" w:hAnsi="Calibri" w:cs="Arial"/>
          <w:kern w:val="0"/>
          <w:sz w:val="20"/>
          <w:szCs w:val="20"/>
        </w:rPr>
        <w:t>货币及单位：人民币/元</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831" w:type="dxa"/>
          </w:tcPr>
          <w:p>
            <w:pPr>
              <w:pStyle w:val="75"/>
            </w:pPr>
            <w:r>
              <w:t xml:space="preserve"> 品目号</w:t>
            </w:r>
          </w:p>
        </w:tc>
        <w:tc>
          <w:tcPr>
            <w:tcW w:w="831" w:type="dxa"/>
          </w:tcPr>
          <w:p>
            <w:pPr>
              <w:pStyle w:val="75"/>
            </w:pPr>
            <w:r>
              <w:t xml:space="preserve"> 序号</w:t>
            </w:r>
          </w:p>
        </w:tc>
        <w:tc>
          <w:tcPr>
            <w:tcW w:w="831" w:type="dxa"/>
          </w:tcPr>
          <w:p>
            <w:pPr>
              <w:pStyle w:val="75"/>
            </w:pPr>
            <w:r>
              <w:t xml:space="preserve"> 服务名称</w:t>
            </w:r>
          </w:p>
        </w:tc>
        <w:tc>
          <w:tcPr>
            <w:tcW w:w="831" w:type="dxa"/>
          </w:tcPr>
          <w:p>
            <w:pPr>
              <w:pStyle w:val="75"/>
            </w:pPr>
            <w:r>
              <w:t xml:space="preserve"> 服务范围</w:t>
            </w:r>
          </w:p>
        </w:tc>
        <w:tc>
          <w:tcPr>
            <w:tcW w:w="831" w:type="dxa"/>
          </w:tcPr>
          <w:p>
            <w:pPr>
              <w:pStyle w:val="75"/>
            </w:pPr>
            <w:r>
              <w:t xml:space="preserve"> 服务要求</w:t>
            </w:r>
          </w:p>
        </w:tc>
        <w:tc>
          <w:tcPr>
            <w:tcW w:w="831" w:type="dxa"/>
          </w:tcPr>
          <w:p>
            <w:pPr>
              <w:pStyle w:val="75"/>
            </w:pPr>
            <w:r>
              <w:t xml:space="preserve"> 服务时间</w:t>
            </w:r>
          </w:p>
        </w:tc>
        <w:tc>
          <w:tcPr>
            <w:tcW w:w="831" w:type="dxa"/>
          </w:tcPr>
          <w:p>
            <w:pPr>
              <w:pStyle w:val="75"/>
            </w:pPr>
            <w:r>
              <w:t xml:space="preserve"> 服务标准</w:t>
            </w:r>
          </w:p>
        </w:tc>
        <w:tc>
          <w:tcPr>
            <w:tcW w:w="831" w:type="dxa"/>
          </w:tcPr>
          <w:p>
            <w:pPr>
              <w:pStyle w:val="75"/>
            </w:pPr>
            <w:r>
              <w:t xml:space="preserve"> 单价</w:t>
            </w:r>
          </w:p>
        </w:tc>
        <w:tc>
          <w:tcPr>
            <w:tcW w:w="831" w:type="dxa"/>
          </w:tcPr>
          <w:p>
            <w:pPr>
              <w:pStyle w:val="75"/>
            </w:pPr>
            <w:r>
              <w:t xml:space="preserve"> 数量</w:t>
            </w:r>
          </w:p>
        </w:tc>
        <w:tc>
          <w:tcPr>
            <w:tcW w:w="831" w:type="dxa"/>
          </w:tcPr>
          <w:p>
            <w:pPr>
              <w:pStyle w:val="75"/>
            </w:pPr>
            <w:r>
              <w:t xml:space="preserve"> 总价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831" w:type="dxa"/>
          </w:tcPr>
          <w:p>
            <w:pPr>
              <w:pStyle w:val="75"/>
            </w:pPr>
            <w:r>
              <w:t xml:space="preserve"> 1</w:t>
            </w: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Borders>
              <w:top w:val="single" w:color="auto" w:sz="2" w:space="0"/>
              <w:left w:val="single" w:color="auto" w:sz="2" w:space="0"/>
              <w:right w:val="single" w:color="auto" w:sz="2" w:space="0"/>
            </w:tcBorders>
          </w:tcPr>
          <w:p/>
        </w:tc>
        <w:tc>
          <w:tcPr>
            <w:tcW w:w="831" w:type="dxa"/>
          </w:tcPr>
          <w:p/>
        </w:tc>
      </w:tr>
    </w:tbl>
    <w:p>
      <w:pPr>
        <w:spacing w:line="500" w:lineRule="exact"/>
        <w:ind w:firstLine="404" w:firstLineChars="202"/>
        <w:jc w:val="left"/>
        <w:rPr>
          <w:rFonts w:ascii="Calibri" w:hAnsi="Calibri" w:cs="Arial"/>
          <w:kern w:val="0"/>
          <w:sz w:val="20"/>
          <w:szCs w:val="20"/>
        </w:rPr>
      </w:pPr>
    </w:p>
    <w:p>
      <w:pPr>
        <w:pStyle w:val="75"/>
      </w:pPr>
      <w:r>
        <w:t xml:space="preserve"> 投标人签章：__________________</w:t>
      </w:r>
    </w:p>
    <w:p>
      <w:pPr>
        <w:pStyle w:val="75"/>
      </w:pPr>
      <w:r>
        <w:t>日期： 年 月 日</w:t>
      </w:r>
    </w:p>
    <w:p>
      <w:pPr>
        <w:pStyle w:val="75"/>
        <w:ind w:firstLine="480"/>
      </w:pPr>
    </w:p>
    <w:p>
      <w:pPr>
        <w:pStyle w:val="75"/>
        <w:outlineLvl w:val="2"/>
      </w:pPr>
      <w:r>
        <w:rPr>
          <w:b/>
          <w:sz w:val="28"/>
        </w:rPr>
        <w:t>格式四：</w:t>
      </w:r>
    </w:p>
    <w:p>
      <w:pPr>
        <w:pStyle w:val="75"/>
        <w:jc w:val="center"/>
        <w:outlineLvl w:val="3"/>
      </w:pPr>
      <w:r>
        <w:rPr>
          <w:b/>
          <w:sz w:val="24"/>
        </w:rPr>
        <w:t>实质性响应一览表</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5"/>
        <w:gridCol w:w="5410"/>
        <w:gridCol w:w="1460"/>
        <w:gridCol w:w="73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jc w:val="center"/>
            </w:pPr>
            <w:r>
              <w:t>序号</w:t>
            </w:r>
          </w:p>
        </w:tc>
        <w:tc>
          <w:tcPr>
            <w:tcW w:w="5410" w:type="dxa"/>
          </w:tcPr>
          <w:p>
            <w:pPr>
              <w:pStyle w:val="75"/>
              <w:jc w:val="center"/>
            </w:pPr>
            <w:r>
              <w:t>实质性响应条款</w:t>
            </w:r>
          </w:p>
        </w:tc>
        <w:tc>
          <w:tcPr>
            <w:tcW w:w="1460" w:type="dxa"/>
          </w:tcPr>
          <w:p>
            <w:pPr>
              <w:pStyle w:val="75"/>
              <w:jc w:val="center"/>
            </w:pPr>
            <w:r>
              <w:t>投标人响应情况</w:t>
            </w:r>
          </w:p>
        </w:tc>
        <w:tc>
          <w:tcPr>
            <w:tcW w:w="739" w:type="dxa"/>
          </w:tcPr>
          <w:p>
            <w:pPr>
              <w:pStyle w:val="75"/>
              <w:jc w:val="center"/>
            </w:pPr>
            <w:r>
              <w:t>差异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r>
              <w:t>1</w:t>
            </w:r>
          </w:p>
        </w:tc>
        <w:tc>
          <w:tcPr>
            <w:tcW w:w="5410" w:type="dxa"/>
            <w:tcBorders>
              <w:top w:val="single" w:color="auto" w:sz="2" w:space="0"/>
              <w:left w:val="single" w:color="auto" w:sz="2" w:space="0"/>
              <w:right w:val="single" w:color="auto" w:sz="2" w:space="0"/>
            </w:tcBorders>
          </w:tcPr>
          <w:p>
            <w:pPr>
              <w:pStyle w:val="75"/>
            </w:pPr>
            <w:r>
              <w:rPr>
                <w:rFonts w:hint="eastAsia"/>
              </w:rPr>
              <w:t>4、★中标人不得将本项目整体或其中一部分转包、分包给第三方公司实施，投标文件内提供承诺函，格式自拟（依据实质性响应一览表及承诺函）。</w:t>
            </w:r>
          </w:p>
        </w:tc>
        <w:tc>
          <w:tcPr>
            <w:tcW w:w="1460" w:type="dxa"/>
            <w:tcBorders>
              <w:top w:val="single" w:color="auto" w:sz="2" w:space="0"/>
              <w:left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r>
              <w:t xml:space="preserve"> 2</w:t>
            </w:r>
          </w:p>
        </w:tc>
        <w:tc>
          <w:tcPr>
            <w:tcW w:w="5410" w:type="dxa"/>
            <w:tcBorders>
              <w:top w:val="single" w:color="auto" w:sz="2" w:space="0"/>
              <w:left w:val="single" w:color="auto" w:sz="2" w:space="0"/>
              <w:right w:val="single" w:color="auto" w:sz="2" w:space="0"/>
            </w:tcBorders>
          </w:tcPr>
          <w:p>
            <w:pPr>
              <w:pStyle w:val="75"/>
            </w:pPr>
            <w:r>
              <w:rPr>
                <w:rFonts w:hint="eastAsia"/>
              </w:rPr>
              <w:t>6、★中标人须在中标结果公告之日起2个工作日内向采购代理机构提供纸质投标文件2套（封面需加盖单位公章及骑缝章），纸质投标文件需与电子投标文件内容保持一致。投标文件内提供承诺函，格式自拟（依据实质性响应一览表及承诺函）。</w:t>
            </w:r>
          </w:p>
        </w:tc>
        <w:tc>
          <w:tcPr>
            <w:tcW w:w="1460" w:type="dxa"/>
            <w:tcBorders>
              <w:top w:val="single" w:color="auto" w:sz="2" w:space="0"/>
              <w:left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r>
              <w:t xml:space="preserve"> 3</w:t>
            </w:r>
          </w:p>
        </w:tc>
        <w:tc>
          <w:tcPr>
            <w:tcW w:w="5410" w:type="dxa"/>
            <w:tcBorders>
              <w:top w:val="single" w:color="auto" w:sz="2" w:space="0"/>
              <w:left w:val="single" w:color="auto" w:sz="2" w:space="0"/>
              <w:right w:val="single" w:color="auto" w:sz="2" w:space="0"/>
            </w:tcBorders>
          </w:tcPr>
          <w:p>
            <w:pPr>
              <w:pStyle w:val="75"/>
            </w:pPr>
            <w:r>
              <w:rPr>
                <w:rFonts w:hint="eastAsia"/>
              </w:rPr>
              <w:t>7、★投标人需针对投标的采购包在《开标一览表》中报出统一的投标折扣（单位：%）。投标折扣必须为固定报价，不接受区间报价（如80%-90%），0＜投标折扣≤100％；报价保留小数点后两位，如：40.12%。同时投标人应在投标文件根据“二、投标报价要求”中每个采购包对应的格式进行填写，其中报价表对应的最终折扣报价应与《开标一览表》中报出的投标折扣一致。如未响应或有缺漏将按未通过符合性审查处理。</w:t>
            </w:r>
          </w:p>
        </w:tc>
        <w:tc>
          <w:tcPr>
            <w:tcW w:w="1460" w:type="dxa"/>
            <w:tcBorders>
              <w:top w:val="single" w:color="auto" w:sz="2" w:space="0"/>
              <w:left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r>
              <w:t xml:space="preserve"> 4</w:t>
            </w:r>
          </w:p>
        </w:tc>
        <w:tc>
          <w:tcPr>
            <w:tcW w:w="5410" w:type="dxa"/>
            <w:tcBorders>
              <w:top w:val="single" w:color="auto" w:sz="2" w:space="0"/>
              <w:left w:val="single" w:color="auto" w:sz="2" w:space="0"/>
              <w:right w:val="single" w:color="auto" w:sz="2" w:space="0"/>
            </w:tcBorders>
          </w:tcPr>
          <w:p>
            <w:pPr>
              <w:pStyle w:val="75"/>
            </w:pPr>
            <w:r>
              <w:rPr>
                <w:rFonts w:hint="eastAsia"/>
              </w:rPr>
              <w:t>采购包1(广州海关技术中心2026年实验室仪器设备维保服务项目（子包2））:</w:t>
            </w:r>
          </w:p>
          <w:p>
            <w:pPr>
              <w:pStyle w:val="75"/>
            </w:pPr>
            <w:r>
              <w:rPr>
                <w:rFonts w:hint="eastAsia"/>
              </w:rPr>
              <w:t>合同总价包括维保清单内设备的年度维保费用，最终实施过程中的合同总额不得超过预算金额。</w:t>
            </w:r>
          </w:p>
          <w:p>
            <w:pPr>
              <w:pStyle w:val="75"/>
            </w:pPr>
            <w:r>
              <w:rPr>
                <w:rFonts w:hint="eastAsia"/>
              </w:rPr>
              <w:t>注：★开标时价格分计算的最终折扣即在《开标一览表》中报出的统一投标折扣，最终折扣=维保服务折扣，最终百分比四舍五入保留两位小数。并在投标文件中按以下格式要求提供《报价表》。如有漏项、错项，报价无效。</w:t>
            </w:r>
          </w:p>
        </w:tc>
        <w:tc>
          <w:tcPr>
            <w:tcW w:w="1460" w:type="dxa"/>
            <w:tcBorders>
              <w:top w:val="single" w:color="auto" w:sz="2" w:space="0"/>
              <w:left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r>
              <w:rPr>
                <w:rFonts w:hint="eastAsia"/>
              </w:rPr>
              <w:t>5</w:t>
            </w:r>
          </w:p>
        </w:tc>
        <w:tc>
          <w:tcPr>
            <w:tcW w:w="5410" w:type="dxa"/>
            <w:tcBorders>
              <w:top w:val="single" w:color="auto" w:sz="2" w:space="0"/>
              <w:left w:val="single" w:color="auto" w:sz="2" w:space="0"/>
              <w:right w:val="single" w:color="auto" w:sz="2" w:space="0"/>
            </w:tcBorders>
          </w:tcPr>
          <w:p>
            <w:pPr>
              <w:pStyle w:val="75"/>
            </w:pPr>
            <w:r>
              <w:rPr>
                <w:rFonts w:hint="eastAsia"/>
              </w:rPr>
              <w:t>采购包1 广州海关技术中心2026年度实验室仪器设备维保服务（子包2）</w:t>
            </w:r>
          </w:p>
          <w:p>
            <w:pPr>
              <w:pStyle w:val="75"/>
            </w:pPr>
            <w:r>
              <w:rPr>
                <w:rFonts w:hint="eastAsia"/>
              </w:rPr>
              <w:t>★1. 本项目设备维保服务包括（在投标文件中提供承诺函，格式自拟）：</w:t>
            </w:r>
          </w:p>
          <w:p>
            <w:pPr>
              <w:pStyle w:val="75"/>
            </w:pPr>
            <w:r>
              <w:rPr>
                <w:rFonts w:hint="eastAsia"/>
              </w:rPr>
              <w:t>1.1维保服务（维修和维保服务全包。维保服务设备范围详见附件1维保服务设备清单，共8台）。中标人须整体承担本项目所列设备的维保服务，包括清单内设备的故障维修、维护保养和技术支持：</w:t>
            </w:r>
          </w:p>
          <w:p>
            <w:pPr>
              <w:pStyle w:val="75"/>
            </w:pPr>
            <w:r>
              <w:rPr>
                <w:rFonts w:hint="eastAsia"/>
              </w:rPr>
              <w:t>1.2 故障维修：接到报修后按约定响应时间到场，检查、故障排除、维修、调试等，确保设备恢复正常使用。</w:t>
            </w:r>
          </w:p>
          <w:p>
            <w:pPr>
              <w:pStyle w:val="75"/>
            </w:pPr>
            <w:r>
              <w:rPr>
                <w:rFonts w:hint="eastAsia"/>
              </w:rPr>
              <w:t>1.3 维护保养：每季度安排技术工程师到现场进行巡查，包括设备检查、维护保养和使用技术支持等预防性维护工作，以保证设备处于最佳运行状态。每次巡查、维护保养后需做好记录，双方签名确认。</w:t>
            </w:r>
          </w:p>
          <w:p>
            <w:pPr>
              <w:pStyle w:val="75"/>
            </w:pPr>
            <w:r>
              <w:rPr>
                <w:rFonts w:hint="eastAsia"/>
              </w:rPr>
              <w:t>1.4 全包范围：维保服务费包括所有工时费、差旅费、上门费、保养费用，以及维修所需的全部零部件费（如电路板、电磁阀、步进马达等），维保服务中的维修应包含衬管、灯丝等消耗品（清单详见附件2）。中标人应考虑所有成本，采购人不再另行支付其他费用。</w:t>
            </w:r>
          </w:p>
        </w:tc>
        <w:tc>
          <w:tcPr>
            <w:tcW w:w="1460" w:type="dxa"/>
            <w:tcBorders>
              <w:top w:val="single" w:color="auto" w:sz="2" w:space="0"/>
              <w:left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r>
              <w:rPr>
                <w:rFonts w:hint="eastAsia"/>
              </w:rPr>
              <w:t>6</w:t>
            </w:r>
          </w:p>
        </w:tc>
        <w:tc>
          <w:tcPr>
            <w:tcW w:w="5410" w:type="dxa"/>
            <w:tcBorders>
              <w:top w:val="single" w:color="auto" w:sz="2" w:space="0"/>
              <w:left w:val="single" w:color="auto" w:sz="2" w:space="0"/>
              <w:bottom w:val="single" w:color="auto" w:sz="2" w:space="0"/>
              <w:right w:val="single" w:color="auto" w:sz="2" w:space="0"/>
            </w:tcBorders>
          </w:tcPr>
          <w:p>
            <w:pPr>
              <w:pStyle w:val="75"/>
            </w:pPr>
            <w:r>
              <w:rPr>
                <w:rFonts w:hint="eastAsia"/>
              </w:rPr>
              <w:t>★2. 中标人在提供维保、维修服务过程中所提供的备件需为设备原厂、全新未拆装的、符合国家质量标准或行业标准的配件及耗材。（中标人在实际供货时，若被发现提供的货物不具备合法手续或未能达到招标文件和投标文件中的有关要求，将按有关法律法规进行处罚。）维修更换的零部件自验收合格之日起提供六个月的保修期（若零部件说明书或相关规定、规格、标准等要求的保修期更长、则以更长的保修期为准）。（在投标文件中提供承诺函，格式自拟）</w:t>
            </w:r>
          </w:p>
        </w:tc>
        <w:tc>
          <w:tcPr>
            <w:tcW w:w="1460" w:type="dxa"/>
            <w:tcBorders>
              <w:top w:val="single" w:color="auto" w:sz="2" w:space="0"/>
              <w:left w:val="single" w:color="auto" w:sz="2" w:space="0"/>
              <w:bottom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p>
        </w:tc>
        <w:tc>
          <w:tcPr>
            <w:tcW w:w="5410" w:type="dxa"/>
            <w:tcBorders>
              <w:top w:val="single" w:color="auto" w:sz="2" w:space="0"/>
              <w:left w:val="single" w:color="auto" w:sz="2" w:space="0"/>
              <w:bottom w:val="single" w:color="auto" w:sz="2" w:space="0"/>
              <w:right w:val="single" w:color="auto" w:sz="2" w:space="0"/>
            </w:tcBorders>
          </w:tcPr>
          <w:p>
            <w:pPr>
              <w:pStyle w:val="75"/>
            </w:pPr>
          </w:p>
        </w:tc>
        <w:tc>
          <w:tcPr>
            <w:tcW w:w="1460" w:type="dxa"/>
            <w:tcBorders>
              <w:top w:val="single" w:color="auto" w:sz="2" w:space="0"/>
              <w:left w:val="single" w:color="auto" w:sz="2" w:space="0"/>
              <w:bottom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p>
        </w:tc>
        <w:tc>
          <w:tcPr>
            <w:tcW w:w="5410" w:type="dxa"/>
            <w:tcBorders>
              <w:top w:val="single" w:color="auto" w:sz="2" w:space="0"/>
              <w:left w:val="single" w:color="auto" w:sz="2" w:space="0"/>
              <w:bottom w:val="single" w:color="auto" w:sz="2" w:space="0"/>
              <w:right w:val="single" w:color="auto" w:sz="2" w:space="0"/>
            </w:tcBorders>
          </w:tcPr>
          <w:p>
            <w:pPr>
              <w:pStyle w:val="75"/>
            </w:pPr>
          </w:p>
        </w:tc>
        <w:tc>
          <w:tcPr>
            <w:tcW w:w="1460" w:type="dxa"/>
            <w:tcBorders>
              <w:top w:val="single" w:color="auto" w:sz="2" w:space="0"/>
              <w:left w:val="single" w:color="auto" w:sz="2" w:space="0"/>
              <w:bottom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695" w:type="dxa"/>
          </w:tcPr>
          <w:p>
            <w:pPr>
              <w:pStyle w:val="75"/>
            </w:pPr>
          </w:p>
        </w:tc>
        <w:tc>
          <w:tcPr>
            <w:tcW w:w="5410" w:type="dxa"/>
            <w:tcBorders>
              <w:top w:val="single" w:color="auto" w:sz="2" w:space="0"/>
              <w:left w:val="single" w:color="auto" w:sz="2" w:space="0"/>
              <w:bottom w:val="single" w:color="auto" w:sz="2" w:space="0"/>
              <w:right w:val="single" w:color="auto" w:sz="2" w:space="0"/>
            </w:tcBorders>
          </w:tcPr>
          <w:p>
            <w:pPr>
              <w:pStyle w:val="75"/>
            </w:pPr>
          </w:p>
        </w:tc>
        <w:tc>
          <w:tcPr>
            <w:tcW w:w="1460" w:type="dxa"/>
            <w:tcBorders>
              <w:top w:val="single" w:color="auto" w:sz="2" w:space="0"/>
              <w:left w:val="single" w:color="auto" w:sz="2" w:space="0"/>
              <w:bottom w:val="single" w:color="auto" w:sz="2" w:space="0"/>
              <w:right w:val="single" w:color="auto" w:sz="2" w:space="0"/>
            </w:tcBorders>
          </w:tcPr>
          <w:p/>
        </w:tc>
        <w:tc>
          <w:tcPr>
            <w:tcW w:w="739"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695" w:type="dxa"/>
          </w:tcPr>
          <w:p>
            <w:pPr>
              <w:pStyle w:val="75"/>
            </w:pPr>
          </w:p>
        </w:tc>
        <w:tc>
          <w:tcPr>
            <w:tcW w:w="5410" w:type="dxa"/>
            <w:tcBorders>
              <w:top w:val="single" w:color="auto" w:sz="2" w:space="0"/>
              <w:left w:val="single" w:color="auto" w:sz="2" w:space="0"/>
              <w:right w:val="single" w:color="auto" w:sz="2" w:space="0"/>
            </w:tcBorders>
          </w:tcPr>
          <w:p>
            <w:pPr>
              <w:pStyle w:val="75"/>
            </w:pPr>
          </w:p>
        </w:tc>
        <w:tc>
          <w:tcPr>
            <w:tcW w:w="1460" w:type="dxa"/>
            <w:tcBorders>
              <w:top w:val="single" w:color="auto" w:sz="2" w:space="0"/>
              <w:left w:val="single" w:color="auto" w:sz="2" w:space="0"/>
              <w:right w:val="single" w:color="auto" w:sz="2" w:space="0"/>
            </w:tcBorders>
          </w:tcPr>
          <w:p/>
        </w:tc>
        <w:tc>
          <w:tcPr>
            <w:tcW w:w="739" w:type="dxa"/>
          </w:tcPr>
          <w:p/>
        </w:tc>
      </w:tr>
    </w:tbl>
    <w:p>
      <w:pPr>
        <w:pStyle w:val="75"/>
        <w:ind w:firstLine="480"/>
      </w:pPr>
      <w:r>
        <w:t>说明：</w:t>
      </w:r>
    </w:p>
    <w:p>
      <w:pPr>
        <w:pStyle w:val="75"/>
        <w:ind w:firstLine="480"/>
      </w:pPr>
      <w:r>
        <w:t>1.实质性响应条款一览表后续内容请根据第二章采购需求★号条款详细列举</w:t>
      </w:r>
    </w:p>
    <w:p>
      <w:pPr>
        <w:pStyle w:val="75"/>
        <w:ind w:firstLine="480"/>
      </w:pPr>
      <w:r>
        <w:t xml:space="preserve"> 2.本表所列条款必须一一予以响应，“投标人响应情况”一栏应填写具体的响应内容，有差异的要具体说明。</w:t>
      </w:r>
    </w:p>
    <w:p>
      <w:pPr>
        <w:pStyle w:val="75"/>
        <w:ind w:firstLine="480"/>
      </w:pPr>
      <w:r>
        <w:t>3.请投标人认真填写本表内容，如填写错误将可能导致投标无效。</w:t>
      </w:r>
    </w:p>
    <w:p>
      <w:pPr>
        <w:pStyle w:val="75"/>
        <w:ind w:firstLine="480"/>
      </w:pPr>
    </w:p>
    <w:p>
      <w:pPr>
        <w:pStyle w:val="75"/>
        <w:outlineLvl w:val="2"/>
      </w:pPr>
      <w:r>
        <w:rPr>
          <w:b/>
          <w:sz w:val="28"/>
        </w:rPr>
        <w:t>格式</w:t>
      </w:r>
      <w:r>
        <w:rPr>
          <w:rFonts w:hint="eastAsia"/>
          <w:b/>
          <w:sz w:val="28"/>
        </w:rPr>
        <w:t>五</w:t>
      </w:r>
      <w:r>
        <w:rPr>
          <w:b/>
          <w:sz w:val="28"/>
        </w:rPr>
        <w:t>：</w:t>
      </w:r>
    </w:p>
    <w:p>
      <w:pPr>
        <w:pStyle w:val="75"/>
        <w:ind w:firstLine="480"/>
      </w:pPr>
      <w:r>
        <w:t>（投标人可使用下述格式，也可使用广东省工商行政管理局统一印制的法定代表人证明书格式）</w:t>
      </w:r>
    </w:p>
    <w:p>
      <w:pPr>
        <w:pStyle w:val="75"/>
        <w:jc w:val="center"/>
        <w:outlineLvl w:val="3"/>
      </w:pPr>
      <w:r>
        <w:rPr>
          <w:b/>
          <w:sz w:val="24"/>
        </w:rPr>
        <w:t>法定代表人证明书</w:t>
      </w:r>
    </w:p>
    <w:p>
      <w:pPr>
        <w:pStyle w:val="75"/>
        <w:ind w:firstLine="480"/>
      </w:pPr>
      <w:r>
        <w:t>_____________现任我单位_____________职务，为法定代表人，特此证明。</w:t>
      </w:r>
    </w:p>
    <w:p>
      <w:pPr>
        <w:pStyle w:val="75"/>
        <w:ind w:firstLine="480"/>
      </w:pPr>
      <w:r>
        <w:t>有效期限：__________________</w:t>
      </w:r>
    </w:p>
    <w:p>
      <w:pPr>
        <w:pStyle w:val="75"/>
        <w:ind w:firstLine="480"/>
      </w:pPr>
      <w:r>
        <w:t>附：代表人性别：_____年龄：_________ 身份证号码：__________________</w:t>
      </w:r>
    </w:p>
    <w:p>
      <w:pPr>
        <w:pStyle w:val="75"/>
        <w:ind w:firstLine="480"/>
      </w:pPr>
      <w:r>
        <w:t>注册号码：____________________企业类型：____________________________</w:t>
      </w:r>
    </w:p>
    <w:p>
      <w:pPr>
        <w:pStyle w:val="75"/>
        <w:ind w:firstLine="480"/>
      </w:pPr>
      <w:r>
        <w:t>经营范围：__________________________</w:t>
      </w:r>
    </w:p>
    <w:p>
      <w:pPr>
        <w:pStyle w:val="75"/>
      </w:pPr>
      <w:r>
        <w:t xml:space="preserve"> 投标人名称（盖章）：__________________</w:t>
      </w:r>
    </w:p>
    <w:p>
      <w:pPr>
        <w:pStyle w:val="75"/>
      </w:pPr>
      <w:r>
        <w:t xml:space="preserve"> 地址：__________________</w:t>
      </w:r>
    </w:p>
    <w:p>
      <w:pPr>
        <w:pStyle w:val="75"/>
      </w:pPr>
      <w:r>
        <w:t xml:space="preserve"> 法定代表人（签字或盖章）：__________________</w:t>
      </w:r>
    </w:p>
    <w:p>
      <w:pPr>
        <w:pStyle w:val="75"/>
      </w:pPr>
      <w:r>
        <w:t xml:space="preserve"> 职务：__________________</w:t>
      </w:r>
    </w:p>
    <w:p>
      <w:pPr>
        <w:pStyle w:val="75"/>
      </w:pPr>
      <w:r>
        <w:t xml:space="preserve"> 日期： 年 月 日</w:t>
      </w:r>
    </w:p>
    <w:p>
      <w:pPr>
        <w:pStyle w:val="75"/>
        <w:ind w:firstLine="480"/>
      </w:pPr>
    </w:p>
    <w:p>
      <w:pPr>
        <w:pStyle w:val="75"/>
        <w:outlineLvl w:val="2"/>
      </w:pPr>
      <w:r>
        <w:rPr>
          <w:b/>
          <w:sz w:val="28"/>
        </w:rPr>
        <w:t>格式</w:t>
      </w:r>
      <w:r>
        <w:rPr>
          <w:rFonts w:hint="eastAsia"/>
          <w:b/>
          <w:sz w:val="28"/>
        </w:rPr>
        <w:t>六</w:t>
      </w:r>
      <w:r>
        <w:rPr>
          <w:b/>
          <w:sz w:val="28"/>
        </w:rPr>
        <w:t>：</w:t>
      </w:r>
    </w:p>
    <w:p>
      <w:pPr>
        <w:pStyle w:val="75"/>
        <w:jc w:val="center"/>
        <w:outlineLvl w:val="3"/>
      </w:pPr>
      <w:r>
        <w:rPr>
          <w:b/>
          <w:sz w:val="24"/>
        </w:rPr>
        <w:t>法定代表人授权书格式</w:t>
      </w:r>
    </w:p>
    <w:p>
      <w:pPr>
        <w:pStyle w:val="75"/>
        <w:ind w:firstLine="480"/>
      </w:pPr>
      <w:r>
        <w:t>（对于银行、保险、电信、邮政、铁路等行业以及获得总公司投标授权的分公司，可以提供投标分支机构负责人授权书）</w:t>
      </w:r>
    </w:p>
    <w:p>
      <w:pPr>
        <w:pStyle w:val="75"/>
        <w:jc w:val="center"/>
        <w:outlineLvl w:val="3"/>
      </w:pPr>
      <w:r>
        <w:rPr>
          <w:b/>
          <w:sz w:val="24"/>
        </w:rPr>
        <w:t>法定代表人授权书</w:t>
      </w:r>
    </w:p>
    <w:p>
      <w:pPr>
        <w:pStyle w:val="75"/>
        <w:ind w:firstLine="480"/>
      </w:pPr>
      <w:r>
        <w:t>致：广州市政府采购中心</w:t>
      </w:r>
    </w:p>
    <w:p>
      <w:pPr>
        <w:pStyle w:val="75"/>
        <w:ind w:firstLine="480"/>
      </w:pPr>
      <w:r>
        <w:t xml:space="preserve">本授权书声明：________是注册于 </w:t>
      </w:r>
      <w:r>
        <w:rPr>
          <w:u w:val="single"/>
        </w:rPr>
        <w:t>（国家或地区）</w:t>
      </w:r>
      <w:r>
        <w:t>的</w:t>
      </w:r>
      <w:r>
        <w:rPr>
          <w:u w:val="single"/>
        </w:rPr>
        <w:t>（投标人名称）</w:t>
      </w:r>
      <w:r>
        <w:t xml:space="preserve">的法定代表人，现任________职务，有效证件号码：________________。现授权 </w:t>
      </w:r>
      <w:r>
        <w:rPr>
          <w:u w:val="single"/>
        </w:rPr>
        <w:t>（姓名、职务）</w:t>
      </w:r>
      <w:r>
        <w:t xml:space="preserve"> 作为我公司的全权代理人，就“</w:t>
      </w:r>
      <w:r>
        <w:rPr>
          <w:rFonts w:hint="eastAsia"/>
        </w:rPr>
        <w:t>广州海关技术中心2026年实验室仪器设备维保服务项目（三次）</w:t>
      </w:r>
      <w:r>
        <w:t xml:space="preserve">”项目采购[采购项目编号为 </w:t>
      </w:r>
      <w:r>
        <w:rPr>
          <w:rFonts w:hint="eastAsia"/>
        </w:rPr>
        <w:t>QCZ2026-0026</w:t>
      </w:r>
      <w:r>
        <w:t>]的投标和合同执行，以我方的名义处理一切与之有关的事宜。</w:t>
      </w:r>
    </w:p>
    <w:p>
      <w:pPr>
        <w:pStyle w:val="75"/>
        <w:ind w:firstLine="480"/>
      </w:pPr>
      <w:r>
        <w:t>本授权书于________年________月________日签字生效，特此声明。</w:t>
      </w:r>
    </w:p>
    <w:p>
      <w:pPr>
        <w:pStyle w:val="75"/>
      </w:pPr>
      <w:r>
        <w:t xml:space="preserve"> 投标人（盖章）：__________________</w:t>
      </w:r>
    </w:p>
    <w:p>
      <w:pPr>
        <w:pStyle w:val="75"/>
      </w:pPr>
      <w:r>
        <w:t xml:space="preserve"> 地址：__________________</w:t>
      </w:r>
    </w:p>
    <w:p>
      <w:pPr>
        <w:pStyle w:val="75"/>
      </w:pPr>
      <w:r>
        <w:t xml:space="preserve"> 法定代表人（签字或盖章）：__________________</w:t>
      </w:r>
    </w:p>
    <w:p>
      <w:pPr>
        <w:pStyle w:val="75"/>
      </w:pPr>
      <w:r>
        <w:t xml:space="preserve"> 职务：__________________</w:t>
      </w:r>
    </w:p>
    <w:p>
      <w:pPr>
        <w:pStyle w:val="75"/>
      </w:pPr>
      <w:r>
        <w:t xml:space="preserve"> 被授权人（签字或盖章）：__________________</w:t>
      </w:r>
    </w:p>
    <w:p>
      <w:pPr>
        <w:pStyle w:val="75"/>
      </w:pPr>
      <w:r>
        <w:t xml:space="preserve"> 职务：__________________</w:t>
      </w:r>
    </w:p>
    <w:p>
      <w:pPr>
        <w:pStyle w:val="75"/>
      </w:pPr>
      <w:r>
        <w:t xml:space="preserve"> 日期： 年 月 日</w:t>
      </w:r>
    </w:p>
    <w:p>
      <w:pPr>
        <w:pStyle w:val="75"/>
        <w:ind w:firstLine="480"/>
      </w:pPr>
    </w:p>
    <w:p>
      <w:pPr>
        <w:pStyle w:val="75"/>
        <w:outlineLvl w:val="2"/>
      </w:pPr>
      <w:r>
        <w:rPr>
          <w:b/>
          <w:sz w:val="28"/>
        </w:rPr>
        <w:t>格式</w:t>
      </w:r>
      <w:r>
        <w:rPr>
          <w:rFonts w:hint="eastAsia"/>
          <w:b/>
          <w:sz w:val="28"/>
        </w:rPr>
        <w:t>七</w:t>
      </w:r>
      <w:r>
        <w:rPr>
          <w:b/>
          <w:sz w:val="28"/>
        </w:rPr>
        <w:t>：</w:t>
      </w:r>
    </w:p>
    <w:p>
      <w:pPr>
        <w:pStyle w:val="75"/>
        <w:jc w:val="center"/>
        <w:outlineLvl w:val="3"/>
      </w:pPr>
      <w:r>
        <w:rPr>
          <w:b/>
          <w:sz w:val="24"/>
        </w:rPr>
        <w:t>提供具有独立承担民事责任的能力的证明材料</w:t>
      </w:r>
    </w:p>
    <w:p>
      <w:pPr>
        <w:pStyle w:val="75"/>
        <w:ind w:firstLine="480"/>
      </w:pPr>
      <w:r>
        <w:t>提供以下相关证照的扫描件之一：1.企业法人提供企业法人营业执照；2.事业法人提供事业法人登记证；3.其他组织提供其他组织的营业执照或执业许可证；4.自然人提供居民身份证等；</w:t>
      </w:r>
    </w:p>
    <w:p>
      <w:pPr>
        <w:pStyle w:val="75"/>
        <w:ind w:firstLine="480"/>
      </w:pPr>
    </w:p>
    <w:p>
      <w:pPr>
        <w:pStyle w:val="75"/>
        <w:outlineLvl w:val="2"/>
      </w:pPr>
      <w:r>
        <w:rPr>
          <w:b/>
          <w:sz w:val="28"/>
        </w:rPr>
        <w:t>格式</w:t>
      </w:r>
      <w:r>
        <w:rPr>
          <w:rFonts w:hint="eastAsia"/>
          <w:b/>
          <w:sz w:val="28"/>
        </w:rPr>
        <w:t>八</w:t>
      </w:r>
      <w:r>
        <w:rPr>
          <w:b/>
          <w:sz w:val="28"/>
        </w:rPr>
        <w:t>：</w:t>
      </w:r>
    </w:p>
    <w:p>
      <w:pPr>
        <w:pStyle w:val="75"/>
        <w:ind w:firstLine="480"/>
      </w:pPr>
      <w:r>
        <w:t>（对于采购需求写明“提供承诺”的条款，供应商可参照以下格式提供承诺）</w:t>
      </w:r>
    </w:p>
    <w:p>
      <w:pPr>
        <w:pStyle w:val="75"/>
        <w:jc w:val="center"/>
        <w:outlineLvl w:val="3"/>
      </w:pPr>
      <w:r>
        <w:rPr>
          <w:b/>
          <w:sz w:val="24"/>
        </w:rPr>
        <w:t>承诺函</w:t>
      </w:r>
    </w:p>
    <w:p>
      <w:pPr>
        <w:pStyle w:val="75"/>
        <w:ind w:firstLine="480"/>
      </w:pPr>
      <w:r>
        <w:t>致：</w:t>
      </w:r>
      <w:r>
        <w:rPr>
          <w:rFonts w:hint="eastAsia"/>
        </w:rPr>
        <w:t>中华人民共和国广州海关</w:t>
      </w:r>
      <w:r>
        <w:br w:type="textWrapping"/>
      </w:r>
    </w:p>
    <w:p>
      <w:pPr>
        <w:pStyle w:val="75"/>
        <w:ind w:firstLine="480"/>
      </w:pPr>
      <w:r>
        <w:t>对于__________________项目（项目编号：__________________），我方郑重承诺如下：</w:t>
      </w:r>
    </w:p>
    <w:p>
      <w:pPr>
        <w:pStyle w:val="75"/>
        <w:ind w:firstLine="480"/>
      </w:pPr>
      <w:r>
        <w:t>如中标/成交，我方承诺严格落实采购文件以下条款：(建议逐条复制采购文件相关条款原文)</w:t>
      </w:r>
    </w:p>
    <w:p>
      <w:pPr>
        <w:pStyle w:val="75"/>
        <w:ind w:firstLine="480"/>
      </w:pPr>
      <w:r>
        <w:t>（一）星号条款</w:t>
      </w:r>
    </w:p>
    <w:p>
      <w:pPr>
        <w:pStyle w:val="75"/>
        <w:ind w:firstLine="480"/>
      </w:pPr>
      <w:r>
        <w:t>1.</w:t>
      </w:r>
    </w:p>
    <w:p>
      <w:pPr>
        <w:pStyle w:val="75"/>
        <w:ind w:firstLine="480"/>
      </w:pPr>
      <w:r>
        <w:t>2.</w:t>
      </w:r>
    </w:p>
    <w:p>
      <w:pPr>
        <w:pStyle w:val="75"/>
        <w:ind w:firstLine="480"/>
      </w:pPr>
      <w:r>
        <w:t>3.</w:t>
      </w:r>
    </w:p>
    <w:p>
      <w:pPr>
        <w:pStyle w:val="75"/>
        <w:ind w:firstLine="480"/>
      </w:pPr>
      <w:r>
        <w:t>.........</w:t>
      </w:r>
    </w:p>
    <w:p>
      <w:pPr>
        <w:pStyle w:val="75"/>
        <w:ind w:firstLine="480"/>
      </w:pPr>
      <w:r>
        <w:t>（二）三角号条款</w:t>
      </w:r>
    </w:p>
    <w:p>
      <w:pPr>
        <w:pStyle w:val="75"/>
        <w:ind w:firstLine="480"/>
      </w:pPr>
      <w:r>
        <w:t>1.</w:t>
      </w:r>
    </w:p>
    <w:p>
      <w:pPr>
        <w:pStyle w:val="75"/>
        <w:ind w:firstLine="480"/>
      </w:pPr>
      <w:r>
        <w:t>2.</w:t>
      </w:r>
    </w:p>
    <w:p>
      <w:pPr>
        <w:pStyle w:val="75"/>
        <w:ind w:firstLine="480"/>
      </w:pPr>
      <w:r>
        <w:t>3.</w:t>
      </w:r>
    </w:p>
    <w:p>
      <w:pPr>
        <w:pStyle w:val="75"/>
        <w:ind w:firstLine="480"/>
      </w:pPr>
      <w:r>
        <w:t>.........</w:t>
      </w:r>
    </w:p>
    <w:p>
      <w:pPr>
        <w:pStyle w:val="75"/>
        <w:ind w:firstLine="480"/>
      </w:pPr>
      <w:r>
        <w:t>（三）非星号、非三角号条款</w:t>
      </w:r>
    </w:p>
    <w:p>
      <w:pPr>
        <w:pStyle w:val="75"/>
        <w:ind w:firstLine="480"/>
      </w:pPr>
      <w:r>
        <w:t>1.</w:t>
      </w:r>
    </w:p>
    <w:p>
      <w:pPr>
        <w:pStyle w:val="75"/>
        <w:ind w:firstLine="480"/>
      </w:pPr>
      <w:r>
        <w:t>2.</w:t>
      </w:r>
    </w:p>
    <w:p>
      <w:pPr>
        <w:pStyle w:val="75"/>
        <w:ind w:firstLine="480"/>
      </w:pPr>
      <w:r>
        <w:t>3.</w:t>
      </w:r>
    </w:p>
    <w:p>
      <w:pPr>
        <w:pStyle w:val="75"/>
        <w:ind w:firstLine="480"/>
      </w:pPr>
      <w:r>
        <w:t>.........</w:t>
      </w:r>
      <w:r>
        <w:br w:type="textWrapping"/>
      </w:r>
    </w:p>
    <w:p>
      <w:pPr>
        <w:pStyle w:val="75"/>
        <w:ind w:firstLine="480"/>
      </w:pPr>
      <w:r>
        <w:t>特此承诺。</w:t>
      </w:r>
    </w:p>
    <w:p>
      <w:pPr>
        <w:pStyle w:val="75"/>
      </w:pPr>
      <w:r>
        <w:t xml:space="preserve"> 供应商名称（盖章）：__________________</w:t>
      </w:r>
    </w:p>
    <w:p>
      <w:pPr>
        <w:pStyle w:val="75"/>
      </w:pPr>
      <w:r>
        <w:t xml:space="preserve"> 日期： 年 月 日</w:t>
      </w:r>
    </w:p>
    <w:p>
      <w:pPr>
        <w:pStyle w:val="75"/>
        <w:ind w:firstLine="480"/>
      </w:pPr>
    </w:p>
    <w:p>
      <w:pPr>
        <w:pStyle w:val="75"/>
        <w:outlineLvl w:val="2"/>
      </w:pPr>
      <w:r>
        <w:rPr>
          <w:b/>
          <w:sz w:val="28"/>
        </w:rPr>
        <w:t>格式</w:t>
      </w:r>
      <w:r>
        <w:rPr>
          <w:rFonts w:hint="eastAsia"/>
          <w:b/>
          <w:sz w:val="28"/>
        </w:rPr>
        <w:t>九</w:t>
      </w:r>
      <w:r>
        <w:rPr>
          <w:b/>
          <w:sz w:val="28"/>
        </w:rPr>
        <w:t>：</w:t>
      </w:r>
    </w:p>
    <w:p>
      <w:pPr>
        <w:pStyle w:val="75"/>
        <w:ind w:firstLine="480"/>
      </w:pPr>
      <w:r>
        <w:t>（以下格式文件由供应商根据需要选用）</w:t>
      </w:r>
    </w:p>
    <w:p>
      <w:pPr>
        <w:pStyle w:val="75"/>
        <w:ind w:firstLine="480"/>
      </w:pPr>
      <w:r>
        <w:rPr>
          <w:b/>
        </w:rPr>
        <w:t>温馨提示：</w:t>
      </w:r>
    </w:p>
    <w:p>
      <w:pPr>
        <w:pStyle w:val="75"/>
        <w:ind w:firstLine="480"/>
      </w:pPr>
      <w:r>
        <w:t>根据工业和信息化部、国家统计局、国家发展和改革委员会、财政部《关于印发中小企业划型标准规定的通知》的精神，投标人需根据以下要求对其出具的《中小企业声明函》的信息进行完善和规范。</w:t>
      </w:r>
    </w:p>
    <w:p>
      <w:pPr>
        <w:pStyle w:val="75"/>
        <w:ind w:firstLine="480"/>
      </w:pPr>
      <w:r>
        <w:t>（一）对于已纳入统计部门统计范围的企业，所属行业、从业人员、营业收入、资产总额、规模类型应与统计部门报表保持一致。</w:t>
      </w:r>
    </w:p>
    <w:p>
      <w:pPr>
        <w:pStyle w:val="75"/>
        <w:ind w:firstLine="480"/>
      </w:pPr>
      <w:r>
        <w:t>（二）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pPr>
        <w:pStyle w:val="75"/>
        <w:ind w:firstLine="480"/>
      </w:pPr>
      <w:r>
        <w:t>（三）对于采购文件确实允许非独立法人参与采购活动的，应按其所属集团公司合并财务报表数据情况予以填报。以联合体形式参加或者合同分包的，需填写联合体中的中小企业或签订分包意向协议的中小企业相关信息。</w:t>
      </w:r>
    </w:p>
    <w:p>
      <w:pPr>
        <w:pStyle w:val="75"/>
        <w:ind w:firstLine="480"/>
      </w:pPr>
      <w:r>
        <w:t>（四）《中小企业声明函》真实性由其出具的供应商负责。《中小企业声明函》中相关企业[制造商、承建（承接）企业]所属行业应当与采购标的的所属行业相一致。如为货物采购项目，《中小企业声明函》应当充分、准确反映货物制造商的信息。</w:t>
      </w:r>
    </w:p>
    <w:p>
      <w:pPr>
        <w:pStyle w:val="75"/>
        <w:ind w:firstLine="480"/>
      </w:pPr>
      <w:r>
        <w:t>（五）对于专门面向中小企业预留份额的采购项目或者采购包，《中小企业声明函》由采购人、采购代理机构在资格审查阶段审查；对于不专门面向中小企业采购的采购项目或者采购包，以及接受大中型企业与小微企业组成联合体或者允许大中型企业向一家或者多家小微企业分包的采购项目，《中小企业声明函》由评审委员会在评审过程中审查。</w:t>
      </w:r>
    </w:p>
    <w:p>
      <w:pPr>
        <w:pStyle w:val="75"/>
        <w:ind w:firstLine="480"/>
      </w:pPr>
      <w:r>
        <w:t>（六）经调查发现供应商提供《中小企业声明函》内容与实际不符的，政府采购监管部门有权根据《中小企业声明函》与实际情况的差异视情形认定其是否属于虚假材料谋取中标。</w:t>
      </w:r>
    </w:p>
    <w:p>
      <w:pPr>
        <w:pStyle w:val="75"/>
        <w:ind w:firstLine="480"/>
      </w:pPr>
      <w:r>
        <w:t>（七）根据《财政部关于规范政府采购行政处罚有关问题的通知》（财库〔2015〕150 号）规定，各级人民政府财政部门依法对供应商作出的禁止参加政府采购活动的行政处罚决定在全国范围内生效。</w:t>
      </w:r>
    </w:p>
    <w:p>
      <w:pPr>
        <w:pStyle w:val="75"/>
        <w:ind w:firstLine="480"/>
      </w:pPr>
      <w:r>
        <w:t>为落实对政府采购违法失信行为惩戒，供应商存在任一级人民政府财政部门作出“禁止参加政府采购活动”行政处罚决定且处罚期限未届满的，即使尚未在“中国政府采购网”开设的“政府采购严重违法失信行为处罚记录”和“信用中国”网站显示，也应禁止参加政府采购活动，采购人及采购代理机构应当审慎甄别供应商参与政府采购活动资格。</w:t>
      </w:r>
    </w:p>
    <w:p>
      <w:pPr>
        <w:pStyle w:val="75"/>
        <w:ind w:firstLine="480"/>
      </w:pPr>
      <w:r>
        <w:t>（八）采购人、采购代理机构、评标委员会（评审小组）在依法进行资格审查时，应当甄别供应商是否存在“禁止参加政府采购”行政处罚决定记录，依法依规审查供应商投标资格。在资格审查、符合性审查等评审过程中，应严格依照规定审查《中小企业声明函》等文件，确保符合相关政策规定。采购人、采购代理机构、评标委员会（评审小组）审查不到位的，监管部门将依法责令改正；拒不改正的，本机关将按照《中华人民共和国政府采购法》相关规定进行处理。</w:t>
      </w:r>
    </w:p>
    <w:p>
      <w:pPr>
        <w:pStyle w:val="75"/>
        <w:ind w:firstLine="480"/>
      </w:pPr>
      <w:r>
        <w:t>（九）供应商提供承诺函、第三方书面声明、检测报告、资质证件、业绩成果等材料作为投标文件组成部分的，供应商应保证资料内容书写正确、真实有效、完整一致。如相关第三方书面声明、相关检测报告等资料虚假，监管部门有权根据调查情形认定其是否属于提供虚假材料谋取中标，并严肃处理。</w:t>
      </w:r>
    </w:p>
    <w:p>
      <w:pPr>
        <w:pStyle w:val="75"/>
      </w:pPr>
    </w:p>
    <w:p>
      <w:pPr>
        <w:pStyle w:val="75"/>
        <w:ind w:firstLine="480"/>
      </w:pPr>
      <w:r>
        <w:t>中小企业声明函（承建本项目工程为中小企业或者承接本项目服务为中小企业时提交本函，所属行业应符合采购文件中明确的本项目所属行业）</w:t>
      </w:r>
    </w:p>
    <w:p>
      <w:pPr>
        <w:pStyle w:val="75"/>
        <w:jc w:val="center"/>
        <w:outlineLvl w:val="3"/>
      </w:pPr>
      <w:r>
        <w:rPr>
          <w:b/>
          <w:sz w:val="24"/>
        </w:rPr>
        <w:t>中小企业声明函（工程、服务）</w:t>
      </w:r>
    </w:p>
    <w:p>
      <w:pPr>
        <w:pStyle w:val="75"/>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75"/>
        <w:ind w:firstLine="480"/>
      </w:pPr>
      <w:r>
        <w:t xml:space="preserve"> 1.</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pPr>
        <w:pStyle w:val="75"/>
        <w:ind w:firstLine="480"/>
      </w:pPr>
      <w:r>
        <w:t xml:space="preserve"> 2.</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pPr>
        <w:pStyle w:val="75"/>
        <w:ind w:firstLine="480"/>
      </w:pPr>
      <w:r>
        <w:t>……</w:t>
      </w:r>
    </w:p>
    <w:p>
      <w:pPr>
        <w:pStyle w:val="75"/>
        <w:ind w:firstLine="480"/>
      </w:pPr>
      <w:r>
        <w:t>以上企业，不属于大企业的分支机构，不存在控股股东为大企业的情形，也不存在与大企业的负责人为同一人的情形。</w:t>
      </w:r>
    </w:p>
    <w:p>
      <w:pPr>
        <w:pStyle w:val="75"/>
        <w:ind w:firstLine="480"/>
      </w:pPr>
      <w:r>
        <w:t>本企业对上述声明内容的真实性负责。如有虚假，将依法承担相应责任。</w:t>
      </w:r>
    </w:p>
    <w:p>
      <w:pPr>
        <w:pStyle w:val="75"/>
      </w:pPr>
      <w:r>
        <w:t xml:space="preserve"> 企业名称（盖章）：__________________</w:t>
      </w:r>
    </w:p>
    <w:p>
      <w:pPr>
        <w:pStyle w:val="75"/>
      </w:pPr>
      <w:r>
        <w:t xml:space="preserve"> 日期： 年 月 日</w:t>
      </w:r>
    </w:p>
    <w:p>
      <w:pPr>
        <w:pStyle w:val="75"/>
        <w:ind w:firstLine="480"/>
      </w:pPr>
      <w:r>
        <w:t>1：从业人员、营业收入、资产总额填报上一年度数据，无上一年度数据的新成立企业可不填报。</w:t>
      </w:r>
    </w:p>
    <w:p>
      <w:pPr>
        <w:pStyle w:val="75"/>
        <w:ind w:firstLine="480"/>
      </w:pPr>
      <w:r>
        <w:t>2：投标人应当自行核实是否属于小微企业，并认真填写声明函，若有虚假将追究其责任。</w:t>
      </w:r>
    </w:p>
    <w:p>
      <w:pPr>
        <w:pStyle w:val="75"/>
        <w:ind w:firstLine="480"/>
      </w:pPr>
    </w:p>
    <w:p>
      <w:pPr>
        <w:pStyle w:val="75"/>
        <w:ind w:firstLine="480"/>
      </w:pPr>
    </w:p>
    <w:p>
      <w:pPr>
        <w:pStyle w:val="75"/>
        <w:outlineLvl w:val="2"/>
      </w:pPr>
      <w:r>
        <w:rPr>
          <w:b/>
          <w:sz w:val="28"/>
        </w:rPr>
        <w:t>格式十：</w:t>
      </w:r>
    </w:p>
    <w:p>
      <w:pPr>
        <w:pStyle w:val="75"/>
        <w:ind w:firstLine="480"/>
      </w:pPr>
      <w:r>
        <w:t>（以下格式文件由供应商根据需要选用）</w:t>
      </w:r>
    </w:p>
    <w:p>
      <w:pPr>
        <w:pStyle w:val="75"/>
        <w:jc w:val="center"/>
        <w:outlineLvl w:val="3"/>
      </w:pPr>
      <w:r>
        <w:rPr>
          <w:b/>
          <w:sz w:val="24"/>
        </w:rPr>
        <w:t>监狱企业</w:t>
      </w:r>
    </w:p>
    <w:p>
      <w:pPr>
        <w:pStyle w:val="75"/>
        <w:ind w:firstLine="480"/>
      </w:pPr>
      <w:r>
        <w:t>提供由监狱管理局、戒毒管理局（含新疆生产建设兵团）出具的属于监狱企业的证明文件。</w:t>
      </w:r>
    </w:p>
    <w:p>
      <w:pPr>
        <w:pStyle w:val="75"/>
        <w:ind w:firstLine="480"/>
      </w:pPr>
    </w:p>
    <w:p>
      <w:pPr>
        <w:pStyle w:val="75"/>
        <w:outlineLvl w:val="2"/>
      </w:pPr>
      <w:r>
        <w:rPr>
          <w:b/>
          <w:sz w:val="28"/>
        </w:rPr>
        <w:t>格式十</w:t>
      </w:r>
      <w:r>
        <w:rPr>
          <w:rFonts w:hint="eastAsia"/>
          <w:b/>
          <w:sz w:val="28"/>
        </w:rPr>
        <w:t>一</w:t>
      </w:r>
      <w:r>
        <w:rPr>
          <w:b/>
          <w:sz w:val="28"/>
        </w:rPr>
        <w:t>：</w:t>
      </w:r>
    </w:p>
    <w:p>
      <w:pPr>
        <w:pStyle w:val="75"/>
        <w:ind w:firstLine="480"/>
      </w:pPr>
      <w:r>
        <w:t>（以下格式文件由供应商根据需要选用）</w:t>
      </w:r>
    </w:p>
    <w:p>
      <w:pPr>
        <w:pStyle w:val="75"/>
        <w:jc w:val="center"/>
        <w:outlineLvl w:val="3"/>
      </w:pPr>
      <w:r>
        <w:rPr>
          <w:b/>
          <w:sz w:val="24"/>
        </w:rPr>
        <w:t>残疾人福利性单位声明函</w:t>
      </w:r>
    </w:p>
    <w:p>
      <w:pPr>
        <w:pStyle w:val="75"/>
        <w:ind w:firstLine="480"/>
      </w:pPr>
      <w: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75"/>
        <w:ind w:firstLine="480"/>
      </w:pPr>
      <w:r>
        <w:t>本单位对上述声明的真实性负责。如有虚假，将依法承担相应责任。</w:t>
      </w:r>
    </w:p>
    <w:p>
      <w:pPr>
        <w:pStyle w:val="75"/>
      </w:pPr>
      <w:r>
        <w:t xml:space="preserve"> 单位名称（盖章）：__________________</w:t>
      </w:r>
    </w:p>
    <w:p>
      <w:pPr>
        <w:pStyle w:val="75"/>
      </w:pPr>
      <w:r>
        <w:t xml:space="preserve"> 日期： 年 月 日</w:t>
      </w:r>
    </w:p>
    <w:p>
      <w:pPr>
        <w:pStyle w:val="75"/>
        <w:ind w:firstLine="480"/>
      </w:pPr>
      <w:r>
        <w:t>注：本函未填写或未勾选视作未做声明。</w:t>
      </w:r>
    </w:p>
    <w:p>
      <w:pPr>
        <w:pStyle w:val="75"/>
        <w:ind w:firstLine="480"/>
      </w:pPr>
    </w:p>
    <w:p>
      <w:pPr>
        <w:pStyle w:val="75"/>
        <w:ind w:firstLine="480"/>
        <w:rPr>
          <w:b/>
          <w:sz w:val="28"/>
        </w:rPr>
      </w:pPr>
      <w:r>
        <w:rPr>
          <w:b/>
          <w:sz w:val="28"/>
        </w:rPr>
        <w:t>格式十</w:t>
      </w:r>
      <w:r>
        <w:rPr>
          <w:rFonts w:hint="eastAsia"/>
          <w:b/>
          <w:sz w:val="28"/>
        </w:rPr>
        <w:t>二</w:t>
      </w:r>
      <w:r>
        <w:rPr>
          <w:b/>
          <w:sz w:val="28"/>
        </w:rPr>
        <w:t>：</w:t>
      </w:r>
    </w:p>
    <w:p>
      <w:pPr>
        <w:pStyle w:val="75"/>
        <w:ind w:firstLine="480"/>
      </w:pPr>
      <w:r>
        <w:t>（以下格式文件由供应商根据需要选用）</w:t>
      </w:r>
    </w:p>
    <w:p>
      <w:pPr>
        <w:pStyle w:val="75"/>
        <w:jc w:val="center"/>
        <w:outlineLvl w:val="3"/>
      </w:pPr>
      <w:r>
        <w:rPr>
          <w:b/>
          <w:sz w:val="24"/>
        </w:rPr>
        <w:t>投标人业绩</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065"/>
        <w:gridCol w:w="1065"/>
        <w:gridCol w:w="1065"/>
        <w:gridCol w:w="1065"/>
        <w:gridCol w:w="1065"/>
        <w:gridCol w:w="1065"/>
        <w:gridCol w:w="1065"/>
        <w:gridCol w:w="106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065" w:type="dxa"/>
          </w:tcPr>
          <w:p>
            <w:pPr>
              <w:pStyle w:val="75"/>
            </w:pPr>
            <w:r>
              <w:t>序号</w:t>
            </w:r>
          </w:p>
        </w:tc>
        <w:tc>
          <w:tcPr>
            <w:tcW w:w="1065" w:type="dxa"/>
          </w:tcPr>
          <w:p>
            <w:pPr>
              <w:pStyle w:val="75"/>
            </w:pPr>
            <w:r>
              <w:t>客户名称</w:t>
            </w:r>
          </w:p>
        </w:tc>
        <w:tc>
          <w:tcPr>
            <w:tcW w:w="1065" w:type="dxa"/>
          </w:tcPr>
          <w:p>
            <w:pPr>
              <w:pStyle w:val="75"/>
            </w:pPr>
            <w:r>
              <w:t>项目名称及合同金额（万元）</w:t>
            </w:r>
          </w:p>
        </w:tc>
        <w:tc>
          <w:tcPr>
            <w:tcW w:w="1065" w:type="dxa"/>
          </w:tcPr>
          <w:p>
            <w:pPr>
              <w:pStyle w:val="75"/>
            </w:pPr>
            <w:r>
              <w:t>签订合同时间</w:t>
            </w:r>
          </w:p>
        </w:tc>
        <w:tc>
          <w:tcPr>
            <w:tcW w:w="1065" w:type="dxa"/>
          </w:tcPr>
          <w:p>
            <w:pPr>
              <w:pStyle w:val="75"/>
            </w:pPr>
            <w:r>
              <w:t>竣工验收报告时间</w:t>
            </w:r>
          </w:p>
        </w:tc>
        <w:tc>
          <w:tcPr>
            <w:tcW w:w="1065" w:type="dxa"/>
          </w:tcPr>
          <w:p>
            <w:pPr>
              <w:pStyle w:val="75"/>
            </w:pPr>
            <w:r>
              <w:rPr>
                <w:color w:val="000000" w:themeColor="text1"/>
                <w14:textFill>
                  <w14:solidFill>
                    <w14:schemeClr w14:val="tx1"/>
                  </w14:solidFill>
                </w14:textFill>
              </w:rPr>
              <w:t>客户满意度情况（满意或优等类似的正面满意度评价）</w:t>
            </w:r>
          </w:p>
        </w:tc>
        <w:tc>
          <w:tcPr>
            <w:tcW w:w="1065" w:type="dxa"/>
          </w:tcPr>
          <w:p>
            <w:pPr>
              <w:pStyle w:val="75"/>
            </w:pPr>
            <w:r>
              <w:t>联系人及电话</w:t>
            </w:r>
          </w:p>
        </w:tc>
        <w:tc>
          <w:tcPr>
            <w:tcW w:w="1065" w:type="dxa"/>
          </w:tcPr>
          <w:p>
            <w:pPr>
              <w:pStyle w:val="75"/>
            </w:pPr>
            <w:r>
              <w:t>证明文件所在位置（请填写证明文件具体所在位置及页码）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065" w:type="dxa"/>
          </w:tcPr>
          <w:p>
            <w:pPr>
              <w:pStyle w:val="75"/>
            </w:pPr>
            <w:r>
              <w:t>1</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065" w:type="dxa"/>
          </w:tcPr>
          <w:p>
            <w:pPr>
              <w:pStyle w:val="75"/>
            </w:pPr>
            <w:r>
              <w:t xml:space="preserve"> 2</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065" w:type="dxa"/>
          </w:tcPr>
          <w:p>
            <w:pPr>
              <w:pStyle w:val="75"/>
            </w:pPr>
            <w:r>
              <w:t xml:space="preserve"> 3</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065" w:type="dxa"/>
          </w:tcPr>
          <w:p>
            <w:pPr>
              <w:pStyle w:val="75"/>
            </w:pPr>
            <w:r>
              <w:t xml:space="preserve"> 4</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065" w:type="dxa"/>
          </w:tcPr>
          <w:p>
            <w:pPr>
              <w:pStyle w:val="75"/>
            </w:pPr>
            <w:r>
              <w:t xml:space="preserve"> …</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bl>
    <w:p>
      <w:pPr>
        <w:pStyle w:val="75"/>
        <w:ind w:firstLine="480"/>
      </w:pPr>
      <w:r>
        <w:t>根据上述业绩情况，按招标文件要求附服务合同复印件及评审标准要求的证明材料。</w:t>
      </w:r>
    </w:p>
    <w:p>
      <w:pPr>
        <w:pStyle w:val="75"/>
        <w:ind w:firstLine="480"/>
      </w:pPr>
    </w:p>
    <w:p>
      <w:pPr>
        <w:pStyle w:val="75"/>
        <w:outlineLvl w:val="2"/>
      </w:pPr>
    </w:p>
    <w:p>
      <w:pPr>
        <w:pStyle w:val="75"/>
        <w:outlineLvl w:val="2"/>
      </w:pPr>
      <w:r>
        <w:rPr>
          <w:b/>
          <w:sz w:val="28"/>
        </w:rPr>
        <w:t>格式十</w:t>
      </w:r>
      <w:r>
        <w:rPr>
          <w:rFonts w:hint="eastAsia"/>
          <w:b/>
          <w:sz w:val="28"/>
        </w:rPr>
        <w:t>三</w:t>
      </w:r>
      <w:r>
        <w:rPr>
          <w:b/>
          <w:sz w:val="28"/>
        </w:rPr>
        <w:t>：</w:t>
      </w:r>
    </w:p>
    <w:p>
      <w:pPr>
        <w:pStyle w:val="75"/>
        <w:ind w:firstLine="480"/>
      </w:pPr>
      <w:r>
        <w:t>（以下格式文件由供应商根据需要选用）</w:t>
      </w:r>
    </w:p>
    <w:p>
      <w:pPr>
        <w:pStyle w:val="75"/>
        <w:jc w:val="center"/>
        <w:outlineLvl w:val="3"/>
      </w:pPr>
      <w:r>
        <w:rPr>
          <w:b/>
          <w:sz w:val="24"/>
        </w:rPr>
        <w:t>项目负责人情况表</w:t>
      </w:r>
    </w:p>
    <w:tbl>
      <w:tblPr>
        <w:tblStyle w:val="3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065"/>
        <w:gridCol w:w="1065"/>
        <w:gridCol w:w="1065"/>
        <w:gridCol w:w="1065"/>
        <w:gridCol w:w="1065"/>
        <w:gridCol w:w="106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65" w:type="dxa"/>
          </w:tcPr>
          <w:p>
            <w:pPr>
              <w:pStyle w:val="75"/>
            </w:pPr>
            <w:r>
              <w:t>序号</w:t>
            </w:r>
          </w:p>
        </w:tc>
        <w:tc>
          <w:tcPr>
            <w:tcW w:w="1065" w:type="dxa"/>
          </w:tcPr>
          <w:p>
            <w:pPr>
              <w:pStyle w:val="75"/>
            </w:pPr>
            <w:r>
              <w:t>岗位</w:t>
            </w:r>
          </w:p>
        </w:tc>
        <w:tc>
          <w:tcPr>
            <w:tcW w:w="1065" w:type="dxa"/>
          </w:tcPr>
          <w:p>
            <w:pPr>
              <w:pStyle w:val="75"/>
            </w:pPr>
            <w:r>
              <w:t>人数</w:t>
            </w:r>
          </w:p>
        </w:tc>
        <w:tc>
          <w:tcPr>
            <w:tcW w:w="1065" w:type="dxa"/>
          </w:tcPr>
          <w:p>
            <w:pPr>
              <w:pStyle w:val="75"/>
            </w:pPr>
            <w:r>
              <w:t>岗位职责</w:t>
            </w:r>
          </w:p>
        </w:tc>
        <w:tc>
          <w:tcPr>
            <w:tcW w:w="1065" w:type="dxa"/>
          </w:tcPr>
          <w:p>
            <w:pPr>
              <w:pStyle w:val="75"/>
            </w:pPr>
            <w:r>
              <w:rPr>
                <w:rFonts w:hint="eastAsia"/>
              </w:rPr>
              <w:t>资质</w:t>
            </w:r>
            <w:r>
              <w:t>要求的响应情况</w:t>
            </w:r>
          </w:p>
        </w:tc>
        <w:tc>
          <w:tcPr>
            <w:tcW w:w="1065" w:type="dxa"/>
          </w:tcPr>
          <w:p>
            <w:pPr>
              <w:pStyle w:val="75"/>
            </w:pPr>
            <w:r>
              <w:t>证明文件所在位置（请填写证明文件具体所在位置及页码）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65" w:type="dxa"/>
          </w:tcPr>
          <w:p>
            <w:pPr>
              <w:pStyle w:val="75"/>
            </w:pPr>
            <w:r>
              <w:t>1</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065" w:type="dxa"/>
          </w:tcPr>
          <w:p>
            <w:pPr>
              <w:pStyle w:val="75"/>
            </w:pPr>
            <w:r>
              <w:t xml:space="preserve"> …</w:t>
            </w: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Borders>
              <w:top w:val="single" w:color="auto" w:sz="2" w:space="0"/>
              <w:left w:val="single" w:color="auto" w:sz="2" w:space="0"/>
              <w:right w:val="single" w:color="auto" w:sz="2" w:space="0"/>
            </w:tcBorders>
          </w:tcPr>
          <w:p/>
        </w:tc>
        <w:tc>
          <w:tcPr>
            <w:tcW w:w="1065" w:type="dxa"/>
          </w:tcPr>
          <w:p/>
        </w:tc>
      </w:tr>
    </w:tbl>
    <w:p>
      <w:pPr>
        <w:pStyle w:val="75"/>
        <w:outlineLvl w:val="2"/>
      </w:pPr>
      <w:r>
        <w:rPr>
          <w:b/>
          <w:sz w:val="28"/>
        </w:rPr>
        <w:t>格式十</w:t>
      </w:r>
      <w:r>
        <w:rPr>
          <w:rFonts w:hint="eastAsia"/>
          <w:b/>
          <w:sz w:val="28"/>
        </w:rPr>
        <w:t>四</w:t>
      </w:r>
      <w:r>
        <w:rPr>
          <w:b/>
          <w:sz w:val="28"/>
        </w:rPr>
        <w:t>：</w:t>
      </w:r>
    </w:p>
    <w:p>
      <w:pPr>
        <w:pStyle w:val="75"/>
        <w:jc w:val="center"/>
        <w:outlineLvl w:val="3"/>
      </w:pPr>
      <w:r>
        <w:rPr>
          <w:b/>
          <w:sz w:val="24"/>
        </w:rPr>
        <w:t>《商务条件响应表》</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 xml:space="preserve"> 序号</w:t>
            </w:r>
          </w:p>
        </w:tc>
        <w:tc>
          <w:tcPr>
            <w:tcW w:w="1187" w:type="dxa"/>
          </w:tcPr>
          <w:p>
            <w:pPr>
              <w:pStyle w:val="75"/>
            </w:pPr>
            <w:r>
              <w:t xml:space="preserve"> 参数性质</w:t>
            </w:r>
          </w:p>
        </w:tc>
        <w:tc>
          <w:tcPr>
            <w:tcW w:w="1187" w:type="dxa"/>
          </w:tcPr>
          <w:p>
            <w:pPr>
              <w:pStyle w:val="75"/>
            </w:pPr>
            <w:r>
              <w:t xml:space="preserve"> 采购文件规定的商务条件</w:t>
            </w:r>
          </w:p>
        </w:tc>
        <w:tc>
          <w:tcPr>
            <w:tcW w:w="1187" w:type="dxa"/>
          </w:tcPr>
          <w:p>
            <w:pPr>
              <w:pStyle w:val="75"/>
            </w:pPr>
            <w:r>
              <w:t xml:space="preserve"> 投标文件响应的具体内容</w:t>
            </w:r>
          </w:p>
        </w:tc>
        <w:tc>
          <w:tcPr>
            <w:tcW w:w="1187" w:type="dxa"/>
          </w:tcPr>
          <w:p>
            <w:pPr>
              <w:pStyle w:val="75"/>
            </w:pPr>
            <w:r>
              <w:t xml:space="preserve"> 是否偏离</w:t>
            </w:r>
          </w:p>
        </w:tc>
        <w:tc>
          <w:tcPr>
            <w:tcW w:w="1187" w:type="dxa"/>
          </w:tcPr>
          <w:p>
            <w:pPr>
              <w:pStyle w:val="75"/>
            </w:pPr>
            <w:r>
              <w:t xml:space="preserve"> 证明文件所在位置（请填写证明文件具体所在位置及页码）</w:t>
            </w:r>
          </w:p>
        </w:tc>
        <w:tc>
          <w:tcPr>
            <w:tcW w:w="1187" w:type="dxa"/>
          </w:tcPr>
          <w:p>
            <w:pPr>
              <w:pStyle w:val="75"/>
            </w:pPr>
            <w:r>
              <w:t xml:space="preserve"> 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1</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2</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3</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4</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5</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6</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7</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8</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9</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1187" w:type="dxa"/>
          </w:tcPr>
          <w:p>
            <w:pPr>
              <w:pStyle w:val="75"/>
            </w:pPr>
            <w:r>
              <w:t xml:space="preserve"> ……</w:t>
            </w: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Borders>
              <w:top w:val="single" w:color="auto" w:sz="2" w:space="0"/>
              <w:left w:val="single" w:color="auto" w:sz="2" w:space="0"/>
              <w:right w:val="single" w:color="auto" w:sz="2" w:space="0"/>
            </w:tcBorders>
          </w:tcPr>
          <w:p/>
        </w:tc>
        <w:tc>
          <w:tcPr>
            <w:tcW w:w="1187" w:type="dxa"/>
          </w:tcPr>
          <w:p/>
        </w:tc>
      </w:tr>
    </w:tbl>
    <w:p>
      <w:pPr>
        <w:pStyle w:val="75"/>
        <w:ind w:firstLine="480"/>
      </w:pPr>
      <w:r>
        <w:t>说明：</w:t>
      </w:r>
    </w:p>
    <w:p>
      <w:pPr>
        <w:pStyle w:val="75"/>
        <w:ind w:firstLine="480"/>
      </w:pPr>
      <w:r>
        <w:t>1. “采购文件规定的商务条件”项下填写的内容应与招标文件中采购需求的 “商务要求”的内容保持一致。</w:t>
      </w:r>
    </w:p>
    <w:p>
      <w:pPr>
        <w:pStyle w:val="75"/>
        <w:ind w:firstLine="480"/>
      </w:pPr>
      <w:r>
        <w:t>2. 投标人应当如实填写上表“投标文件响应的具体内容”处内容，对采购文件规定的商务条件作出明确响应，并列明具体响应数值或内容，只注明符合、满足等无具体内容表述或照搬照抄采购文件参数、不注明实际数值者 的，将视为未实质性满足招标文件要求。投标人需要说明的内容若需特殊表达，应先在本表中进行相应说明，再另页应答，否则投标无效。</w:t>
      </w:r>
    </w:p>
    <w:p>
      <w:pPr>
        <w:pStyle w:val="75"/>
        <w:ind w:firstLine="480"/>
      </w:pPr>
      <w:r>
        <w:t>3. “是否偏离”项下应按下列规定填写：优于的，填写“正偏离”；符合的，填写“无偏离”；低于的，填写“负偏离”。</w:t>
      </w:r>
    </w:p>
    <w:p>
      <w:pPr>
        <w:pStyle w:val="75"/>
        <w:ind w:firstLine="480"/>
      </w:pPr>
      <w:r>
        <w:rPr>
          <w:rFonts w:hint="eastAsia"/>
        </w:rPr>
        <w:t>4</w:t>
      </w:r>
      <w:r>
        <w:t>.“备注”处可填写偏离情况的说明。</w:t>
      </w:r>
    </w:p>
    <w:p>
      <w:pPr>
        <w:pStyle w:val="75"/>
        <w:ind w:firstLine="480"/>
      </w:pPr>
    </w:p>
    <w:p>
      <w:pPr>
        <w:pStyle w:val="75"/>
        <w:outlineLvl w:val="2"/>
      </w:pPr>
      <w:r>
        <w:rPr>
          <w:b/>
          <w:sz w:val="28"/>
        </w:rPr>
        <w:t>格式十</w:t>
      </w:r>
      <w:r>
        <w:rPr>
          <w:rFonts w:hint="eastAsia"/>
          <w:b/>
          <w:sz w:val="28"/>
        </w:rPr>
        <w:t>五</w:t>
      </w:r>
      <w:r>
        <w:rPr>
          <w:b/>
          <w:sz w:val="28"/>
        </w:rPr>
        <w:t>：</w:t>
      </w:r>
    </w:p>
    <w:p>
      <w:pPr>
        <w:pStyle w:val="75"/>
        <w:ind w:firstLine="480"/>
      </w:pPr>
      <w:r>
        <w:t>（以下格式文件由供应商根据需要选用）</w:t>
      </w:r>
    </w:p>
    <w:p>
      <w:pPr>
        <w:pStyle w:val="75"/>
        <w:jc w:val="center"/>
        <w:outlineLvl w:val="3"/>
      </w:pPr>
      <w:r>
        <w:rPr>
          <w:b/>
          <w:sz w:val="24"/>
        </w:rPr>
        <w:t>履约进度计划表</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076" w:type="dxa"/>
          </w:tcPr>
          <w:p>
            <w:pPr>
              <w:pStyle w:val="75"/>
            </w:pPr>
            <w:r>
              <w:t>序号</w:t>
            </w:r>
          </w:p>
        </w:tc>
        <w:tc>
          <w:tcPr>
            <w:tcW w:w="2076" w:type="dxa"/>
          </w:tcPr>
          <w:p>
            <w:pPr>
              <w:pStyle w:val="75"/>
            </w:pPr>
            <w:r>
              <w:t xml:space="preserve"> 拟定时间安排</w:t>
            </w:r>
          </w:p>
        </w:tc>
        <w:tc>
          <w:tcPr>
            <w:tcW w:w="2076" w:type="dxa"/>
          </w:tcPr>
          <w:p>
            <w:pPr>
              <w:pStyle w:val="75"/>
            </w:pPr>
            <w:r>
              <w:t xml:space="preserve"> 计划完成的工作内容</w:t>
            </w:r>
          </w:p>
        </w:tc>
        <w:tc>
          <w:tcPr>
            <w:tcW w:w="2076" w:type="dxa"/>
          </w:tcPr>
          <w:p>
            <w:pPr>
              <w:pStyle w:val="75"/>
            </w:pPr>
            <w:r>
              <w:t xml:space="preserve"> 实施方建议或要求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076" w:type="dxa"/>
          </w:tcPr>
          <w:p>
            <w:pPr>
              <w:pStyle w:val="75"/>
            </w:pPr>
            <w:r>
              <w:t xml:space="preserve"> 1</w:t>
            </w:r>
          </w:p>
        </w:tc>
        <w:tc>
          <w:tcPr>
            <w:tcW w:w="2076" w:type="dxa"/>
            <w:tcBorders>
              <w:top w:val="single" w:color="auto" w:sz="2" w:space="0"/>
              <w:left w:val="single" w:color="auto" w:sz="2" w:space="0"/>
              <w:right w:val="single" w:color="auto" w:sz="2" w:space="0"/>
            </w:tcBorders>
          </w:tcPr>
          <w:p>
            <w:pPr>
              <w:pStyle w:val="75"/>
            </w:pPr>
            <w:r>
              <w:t xml:space="preserve"> 拟定___年___月___日</w:t>
            </w:r>
          </w:p>
        </w:tc>
        <w:tc>
          <w:tcPr>
            <w:tcW w:w="2076" w:type="dxa"/>
            <w:tcBorders>
              <w:top w:val="single" w:color="auto" w:sz="2" w:space="0"/>
              <w:left w:val="single" w:color="auto" w:sz="2" w:space="0"/>
              <w:right w:val="single" w:color="auto" w:sz="2" w:space="0"/>
            </w:tcBorders>
          </w:tcPr>
          <w:p>
            <w:pPr>
              <w:pStyle w:val="75"/>
            </w:pPr>
            <w:r>
              <w:t xml:space="preserve"> 签定合同并生效</w:t>
            </w:r>
          </w:p>
        </w:tc>
        <w:tc>
          <w:tcPr>
            <w:tcW w:w="2076"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076" w:type="dxa"/>
          </w:tcPr>
          <w:p>
            <w:pPr>
              <w:pStyle w:val="75"/>
            </w:pPr>
            <w:r>
              <w:t xml:space="preserve"> 2</w:t>
            </w:r>
          </w:p>
        </w:tc>
        <w:tc>
          <w:tcPr>
            <w:tcW w:w="2076" w:type="dxa"/>
            <w:tcBorders>
              <w:top w:val="single" w:color="auto" w:sz="2" w:space="0"/>
              <w:left w:val="single" w:color="auto" w:sz="2" w:space="0"/>
              <w:right w:val="single" w:color="auto" w:sz="2" w:space="0"/>
            </w:tcBorders>
          </w:tcPr>
          <w:p>
            <w:pPr>
              <w:pStyle w:val="75"/>
            </w:pPr>
            <w:r>
              <w:t xml:space="preserve"> ___月___日—___月___日</w:t>
            </w:r>
          </w:p>
        </w:tc>
        <w:tc>
          <w:tcPr>
            <w:tcW w:w="2076" w:type="dxa"/>
            <w:tcBorders>
              <w:top w:val="single" w:color="auto" w:sz="2" w:space="0"/>
              <w:left w:val="single" w:color="auto" w:sz="2" w:space="0"/>
              <w:right w:val="single" w:color="auto" w:sz="2" w:space="0"/>
            </w:tcBorders>
          </w:tcPr>
          <w:p/>
        </w:tc>
        <w:tc>
          <w:tcPr>
            <w:tcW w:w="2076"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076" w:type="dxa"/>
          </w:tcPr>
          <w:p>
            <w:pPr>
              <w:pStyle w:val="75"/>
            </w:pPr>
            <w:r>
              <w:t xml:space="preserve"> 3</w:t>
            </w:r>
          </w:p>
        </w:tc>
        <w:tc>
          <w:tcPr>
            <w:tcW w:w="2076" w:type="dxa"/>
            <w:tcBorders>
              <w:top w:val="single" w:color="auto" w:sz="2" w:space="0"/>
              <w:left w:val="single" w:color="auto" w:sz="2" w:space="0"/>
              <w:right w:val="single" w:color="auto" w:sz="2" w:space="0"/>
            </w:tcBorders>
          </w:tcPr>
          <w:p>
            <w:pPr>
              <w:pStyle w:val="75"/>
            </w:pPr>
            <w:r>
              <w:t xml:space="preserve"> ___月___日—___月___日</w:t>
            </w:r>
          </w:p>
        </w:tc>
        <w:tc>
          <w:tcPr>
            <w:tcW w:w="2076" w:type="dxa"/>
            <w:tcBorders>
              <w:top w:val="single" w:color="auto" w:sz="2" w:space="0"/>
              <w:left w:val="single" w:color="auto" w:sz="2" w:space="0"/>
              <w:right w:val="single" w:color="auto" w:sz="2" w:space="0"/>
            </w:tcBorders>
          </w:tcPr>
          <w:p/>
        </w:tc>
        <w:tc>
          <w:tcPr>
            <w:tcW w:w="2076"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076" w:type="dxa"/>
          </w:tcPr>
          <w:p>
            <w:pPr>
              <w:pStyle w:val="75"/>
            </w:pPr>
            <w:r>
              <w:t xml:space="preserve"> 4</w:t>
            </w:r>
          </w:p>
        </w:tc>
        <w:tc>
          <w:tcPr>
            <w:tcW w:w="2076" w:type="dxa"/>
            <w:tcBorders>
              <w:top w:val="single" w:color="auto" w:sz="2" w:space="0"/>
              <w:left w:val="single" w:color="auto" w:sz="2" w:space="0"/>
              <w:right w:val="single" w:color="auto" w:sz="2" w:space="0"/>
            </w:tcBorders>
          </w:tcPr>
          <w:p>
            <w:pPr>
              <w:pStyle w:val="75"/>
            </w:pPr>
            <w:r>
              <w:t xml:space="preserve"> ___月___日—___月___日</w:t>
            </w:r>
          </w:p>
        </w:tc>
        <w:tc>
          <w:tcPr>
            <w:tcW w:w="2076" w:type="dxa"/>
            <w:tcBorders>
              <w:top w:val="single" w:color="auto" w:sz="2" w:space="0"/>
              <w:left w:val="single" w:color="auto" w:sz="2" w:space="0"/>
              <w:right w:val="single" w:color="auto" w:sz="2" w:space="0"/>
            </w:tcBorders>
          </w:tcPr>
          <w:p>
            <w:pPr>
              <w:pStyle w:val="75"/>
            </w:pPr>
            <w:r>
              <w:t xml:space="preserve"> 质保期</w:t>
            </w:r>
          </w:p>
        </w:tc>
        <w:tc>
          <w:tcPr>
            <w:tcW w:w="2076" w:type="dxa"/>
          </w:tcPr>
          <w:p/>
        </w:tc>
      </w:tr>
    </w:tbl>
    <w:p>
      <w:pPr>
        <w:pStyle w:val="75"/>
        <w:ind w:firstLine="480"/>
      </w:pPr>
    </w:p>
    <w:p>
      <w:pPr>
        <w:pStyle w:val="75"/>
        <w:outlineLvl w:val="2"/>
      </w:pPr>
      <w:r>
        <w:rPr>
          <w:b/>
          <w:sz w:val="28"/>
        </w:rPr>
        <w:t>格式十</w:t>
      </w:r>
      <w:r>
        <w:rPr>
          <w:rFonts w:hint="eastAsia"/>
          <w:b/>
          <w:sz w:val="28"/>
        </w:rPr>
        <w:t>六</w:t>
      </w:r>
      <w:r>
        <w:rPr>
          <w:b/>
          <w:sz w:val="28"/>
        </w:rPr>
        <w:t>：</w:t>
      </w:r>
    </w:p>
    <w:p>
      <w:pPr>
        <w:pStyle w:val="75"/>
        <w:ind w:firstLine="480"/>
      </w:pPr>
      <w:r>
        <w:t>（以下格式文件由供应商根据需要选用）</w:t>
      </w:r>
    </w:p>
    <w:p>
      <w:pPr>
        <w:pStyle w:val="75"/>
        <w:jc w:val="center"/>
        <w:outlineLvl w:val="3"/>
      </w:pPr>
      <w:r>
        <w:rPr>
          <w:b/>
          <w:sz w:val="24"/>
        </w:rPr>
        <w:t>各类证明材料</w:t>
      </w:r>
    </w:p>
    <w:p>
      <w:pPr>
        <w:pStyle w:val="75"/>
        <w:ind w:firstLine="480"/>
      </w:pPr>
      <w:r>
        <w:t>1.招标文件要求提供的其他资料。</w:t>
      </w:r>
    </w:p>
    <w:p>
      <w:pPr>
        <w:pStyle w:val="75"/>
        <w:ind w:firstLine="480"/>
      </w:pPr>
      <w:r>
        <w:t>2.投标人认为需提供的其他资料。</w:t>
      </w:r>
    </w:p>
    <w:p>
      <w:pPr>
        <w:pStyle w:val="75"/>
        <w:ind w:firstLine="480"/>
      </w:pPr>
    </w:p>
    <w:p>
      <w:pPr>
        <w:pStyle w:val="75"/>
        <w:outlineLvl w:val="2"/>
      </w:pPr>
      <w:r>
        <w:rPr>
          <w:b/>
          <w:sz w:val="28"/>
        </w:rPr>
        <w:t>格式</w:t>
      </w:r>
      <w:r>
        <w:rPr>
          <w:rFonts w:hint="eastAsia"/>
          <w:b/>
          <w:sz w:val="28"/>
        </w:rPr>
        <w:t>十七</w:t>
      </w:r>
      <w:r>
        <w:rPr>
          <w:b/>
          <w:sz w:val="28"/>
        </w:rPr>
        <w:t>：</w:t>
      </w:r>
    </w:p>
    <w:p>
      <w:pPr>
        <w:pStyle w:val="75"/>
        <w:jc w:val="center"/>
        <w:outlineLvl w:val="3"/>
      </w:pPr>
      <w:r>
        <w:rPr>
          <w:b/>
          <w:sz w:val="24"/>
        </w:rPr>
        <w:t>采购代理服务费支付承诺书</w:t>
      </w:r>
    </w:p>
    <w:p>
      <w:pPr>
        <w:pStyle w:val="75"/>
        <w:ind w:firstLine="480"/>
      </w:pPr>
      <w:r>
        <w:t>致：广州市政府采购中心</w:t>
      </w:r>
    </w:p>
    <w:p>
      <w:pPr>
        <w:pStyle w:val="75"/>
        <w:ind w:firstLine="480"/>
      </w:pPr>
      <w:r>
        <w:t xml:space="preserve"> 如果我方在贵采购代理机构组织的</w:t>
      </w:r>
      <w:r>
        <w:rPr>
          <w:rFonts w:hint="eastAsia"/>
        </w:rPr>
        <w:t>广州海关技术中心2026年实验室仪器设备维保服务项目（三次）</w:t>
      </w:r>
      <w:r>
        <w:t xml:space="preserve">招标中获中标（采购项目编号： </w:t>
      </w:r>
      <w:r>
        <w:rPr>
          <w:rFonts w:hint="eastAsia"/>
        </w:rPr>
        <w:t>QCZ206-00XX</w:t>
      </w:r>
      <w:r>
        <w:t>），我方保证在收取《中标通知书》时，按招标文件对代理服务费支付方式的约定，承担本项目代理服务费。</w:t>
      </w:r>
    </w:p>
    <w:p>
      <w:pPr>
        <w:pStyle w:val="75"/>
        <w:ind w:firstLine="480"/>
      </w:pPr>
      <w:r>
        <w:t xml:space="preserve"> 我方如违约，愿凭贵单位开出的违约通知，从我方提交的投标保证金中支付；以投标担保函（或保险保函）方式提交投标保证金时，同意和要求投标担保函开立银行或担保机构、保险保函开立的保险机构应广州市政府采购中心的要求办理支付手续。</w:t>
      </w:r>
    </w:p>
    <w:p>
      <w:pPr>
        <w:pStyle w:val="75"/>
        <w:ind w:firstLine="480"/>
      </w:pPr>
      <w:r>
        <w:t>特此承诺！</w:t>
      </w:r>
    </w:p>
    <w:p>
      <w:pPr>
        <w:pStyle w:val="75"/>
      </w:pPr>
      <w:r>
        <w:t>投标人法定名称（公章）；_____________________</w:t>
      </w:r>
    </w:p>
    <w:p>
      <w:pPr>
        <w:pStyle w:val="75"/>
      </w:pPr>
      <w:r>
        <w:t>投标人法定地址：_____________________</w:t>
      </w:r>
    </w:p>
    <w:p>
      <w:pPr>
        <w:pStyle w:val="75"/>
      </w:pPr>
      <w:r>
        <w:t>投标人授权代表（签字或盖章）：_____________________</w:t>
      </w:r>
    </w:p>
    <w:p>
      <w:pPr>
        <w:pStyle w:val="75"/>
      </w:pPr>
      <w:r>
        <w:t>电 话：_____________________</w:t>
      </w:r>
    </w:p>
    <w:p>
      <w:pPr>
        <w:pStyle w:val="75"/>
      </w:pPr>
      <w:r>
        <w:t>传 真：_____________________</w:t>
      </w:r>
    </w:p>
    <w:p>
      <w:pPr>
        <w:pStyle w:val="75"/>
      </w:pPr>
      <w:r>
        <w:t>承诺日期：_____________________</w:t>
      </w:r>
    </w:p>
    <w:p>
      <w:pPr>
        <w:pStyle w:val="75"/>
        <w:ind w:firstLine="480"/>
      </w:pPr>
    </w:p>
    <w:p>
      <w:pPr>
        <w:pStyle w:val="75"/>
        <w:outlineLvl w:val="2"/>
      </w:pPr>
      <w:r>
        <w:rPr>
          <w:b/>
          <w:sz w:val="28"/>
        </w:rPr>
        <w:t>格式十</w:t>
      </w:r>
      <w:r>
        <w:rPr>
          <w:rFonts w:hint="eastAsia"/>
          <w:b/>
          <w:sz w:val="28"/>
        </w:rPr>
        <w:t>八</w:t>
      </w:r>
      <w:r>
        <w:rPr>
          <w:b/>
          <w:sz w:val="28"/>
        </w:rPr>
        <w:t>：</w:t>
      </w:r>
    </w:p>
    <w:p>
      <w:pPr>
        <w:pStyle w:val="75"/>
        <w:ind w:firstLine="480"/>
      </w:pPr>
      <w:r>
        <w:t>（以下格式文件由供应商根据需要选用）</w:t>
      </w:r>
    </w:p>
    <w:p>
      <w:pPr>
        <w:pStyle w:val="75"/>
        <w:jc w:val="center"/>
        <w:outlineLvl w:val="3"/>
      </w:pPr>
      <w:r>
        <w:rPr>
          <w:b/>
          <w:sz w:val="24"/>
        </w:rPr>
        <w:t>需要采购人提供的附加条件</w:t>
      </w:r>
    </w:p>
    <w:tbl>
      <w:tblPr>
        <w:tblStyle w:val="30"/>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153"/>
        <w:gridCol w:w="415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153" w:type="dxa"/>
          </w:tcPr>
          <w:p>
            <w:pPr>
              <w:pStyle w:val="75"/>
            </w:pPr>
            <w:r>
              <w:t>序号</w:t>
            </w:r>
          </w:p>
        </w:tc>
        <w:tc>
          <w:tcPr>
            <w:tcW w:w="4153" w:type="dxa"/>
          </w:tcPr>
          <w:p>
            <w:pPr>
              <w:pStyle w:val="75"/>
            </w:pPr>
            <w:r>
              <w:t>投标人需要采购人提供的附加条件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153" w:type="dxa"/>
          </w:tcPr>
          <w:p>
            <w:pPr>
              <w:pStyle w:val="75"/>
            </w:pPr>
            <w:r>
              <w:t xml:space="preserve"> 1</w:t>
            </w:r>
          </w:p>
        </w:tc>
        <w:tc>
          <w:tcPr>
            <w:tcW w:w="4153"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153" w:type="dxa"/>
          </w:tcPr>
          <w:p>
            <w:pPr>
              <w:pStyle w:val="75"/>
            </w:pPr>
            <w:r>
              <w:t xml:space="preserve"> 2</w:t>
            </w:r>
          </w:p>
        </w:tc>
        <w:tc>
          <w:tcPr>
            <w:tcW w:w="4153" w:type="dxa"/>
          </w:tc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153" w:type="dxa"/>
          </w:tcPr>
          <w:p>
            <w:pPr>
              <w:pStyle w:val="75"/>
            </w:pPr>
            <w:r>
              <w:t xml:space="preserve"> 3</w:t>
            </w:r>
          </w:p>
        </w:tc>
        <w:tc>
          <w:tcPr>
            <w:tcW w:w="4153" w:type="dxa"/>
          </w:tcPr>
          <w:p/>
        </w:tc>
      </w:tr>
    </w:tbl>
    <w:p>
      <w:pPr>
        <w:pStyle w:val="75"/>
        <w:ind w:firstLine="480"/>
      </w:pPr>
      <w:r>
        <w:t>注：投标人完成本项目需要采购人配合或提供的条件必须在上表列出，否则将视为投标人同意按现有条件完成本项目。如上表所列附加条件含有采购人不能接受的，将被视为投标无效。</w:t>
      </w:r>
    </w:p>
    <w:p>
      <w:pPr>
        <w:pStyle w:val="75"/>
        <w:ind w:firstLine="480"/>
      </w:pPr>
    </w:p>
    <w:p>
      <w:pPr>
        <w:pStyle w:val="75"/>
        <w:outlineLvl w:val="2"/>
      </w:pPr>
      <w:r>
        <w:rPr>
          <w:b/>
          <w:sz w:val="28"/>
        </w:rPr>
        <w:t>格式</w:t>
      </w:r>
      <w:r>
        <w:rPr>
          <w:rFonts w:hint="eastAsia"/>
          <w:b/>
          <w:sz w:val="28"/>
        </w:rPr>
        <w:t>十九</w:t>
      </w:r>
      <w:r>
        <w:rPr>
          <w:b/>
          <w:sz w:val="28"/>
        </w:rPr>
        <w:t>：</w:t>
      </w:r>
    </w:p>
    <w:p>
      <w:pPr>
        <w:pStyle w:val="75"/>
        <w:ind w:firstLine="480"/>
      </w:pPr>
      <w:r>
        <w:t>（以下格式文件由供应商根据需要选用）</w:t>
      </w:r>
    </w:p>
    <w:p>
      <w:pPr>
        <w:pStyle w:val="75"/>
        <w:ind w:firstLine="480"/>
      </w:pPr>
      <w:r>
        <w:rPr>
          <w:rFonts w:hint="eastAsia"/>
        </w:rPr>
        <w:t>项目实施方案、质量保证及售后服务承诺等内容格式自拟。</w:t>
      </w:r>
    </w:p>
    <w:p>
      <w:pPr>
        <w:pStyle w:val="75"/>
        <w:ind w:firstLine="480"/>
      </w:pPr>
    </w:p>
    <w:p>
      <w:pPr>
        <w:pStyle w:val="75"/>
        <w:outlineLvl w:val="2"/>
      </w:pPr>
      <w:r>
        <w:rPr>
          <w:b/>
          <w:sz w:val="28"/>
        </w:rPr>
        <w:t>格式二十：</w:t>
      </w:r>
    </w:p>
    <w:p>
      <w:pPr>
        <w:pStyle w:val="75"/>
        <w:jc w:val="center"/>
        <w:outlineLvl w:val="3"/>
        <w:rPr>
          <w:b/>
          <w:sz w:val="24"/>
        </w:rPr>
      </w:pPr>
      <w:r>
        <w:rPr>
          <w:b/>
          <w:sz w:val="24"/>
        </w:rPr>
        <w:t>政府采购履约担保函</w:t>
      </w:r>
    </w:p>
    <w:p>
      <w:pPr>
        <w:pStyle w:val="75"/>
        <w:jc w:val="center"/>
        <w:outlineLvl w:val="3"/>
        <w:rPr>
          <w:b/>
          <w:sz w:val="24"/>
        </w:rPr>
      </w:pPr>
      <w:r>
        <w:rPr>
          <w:rFonts w:hint="eastAsia"/>
          <w:b/>
          <w:sz w:val="24"/>
        </w:rPr>
        <w:t>（如需）</w:t>
      </w:r>
    </w:p>
    <w:p>
      <w:pPr>
        <w:pStyle w:val="75"/>
      </w:pPr>
      <w:r>
        <w:t>编号：</w:t>
      </w:r>
    </w:p>
    <w:p>
      <w:pPr>
        <w:pStyle w:val="75"/>
        <w:ind w:firstLine="480"/>
      </w:pPr>
      <w:r>
        <w:t>（采购人）：</w:t>
      </w:r>
    </w:p>
    <w:p>
      <w:pPr>
        <w:pStyle w:val="75"/>
        <w:ind w:firstLine="480"/>
      </w:pPr>
      <w: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75"/>
        <w:ind w:firstLine="480"/>
      </w:pPr>
      <w:r>
        <w:t>一、保证金额</w:t>
      </w:r>
    </w:p>
    <w:p>
      <w:pPr>
        <w:pStyle w:val="75"/>
        <w:ind w:firstLine="480"/>
      </w:pPr>
      <w:r>
        <w:t>我方的保证范围是主合同约定的合同价款总额的___%，数额为__________（大写），币种为</w:t>
      </w:r>
      <w:r>
        <w:rPr>
          <w:u w:val="single"/>
        </w:rPr>
        <w:t>人民币</w:t>
      </w:r>
      <w:r>
        <w:t>（即主合同履约保证金金额）。</w:t>
      </w:r>
    </w:p>
    <w:p>
      <w:pPr>
        <w:pStyle w:val="75"/>
        <w:ind w:firstLine="480"/>
      </w:pPr>
      <w:r>
        <w:t>二、我方保证的方式为：连带责任保证。</w:t>
      </w:r>
    </w:p>
    <w:p>
      <w:pPr>
        <w:pStyle w:val="75"/>
        <w:ind w:firstLine="480"/>
      </w:pPr>
      <w:r>
        <w:t>三、我方保证的期间为：本保函自开立之日起生效，至 年 月 日止。</w:t>
      </w:r>
    </w:p>
    <w:p>
      <w:pPr>
        <w:pStyle w:val="75"/>
        <w:ind w:firstLine="480"/>
      </w:pPr>
      <w:r>
        <w:t>四、在本保函的有效期内，如被保证人违反上述合同或协议约定的义务，我方将在收到你方提交的本保函文件及符合下列全部条件的索赔通知后</w:t>
      </w:r>
      <w:r>
        <w:rPr>
          <w:u w:val="single"/>
        </w:rPr>
        <w:t xml:space="preserve"> 30 </w:t>
      </w:r>
      <w:r>
        <w:t>个工作日内以上述保证金额为限支付你方索赔金额:</w:t>
      </w:r>
    </w:p>
    <w:p>
      <w:pPr>
        <w:pStyle w:val="75"/>
        <w:ind w:firstLine="480"/>
      </w:pPr>
      <w:r>
        <w:t>(一)索赔通知文件必须以书面形式提出，列明索赔金额，并由你方法定代表人(负责人)或授权代理人签字并加盖公章;</w:t>
      </w:r>
    </w:p>
    <w:p>
      <w:pPr>
        <w:pStyle w:val="75"/>
        <w:ind w:firstLine="480"/>
      </w:pPr>
      <w:r>
        <w:t>(二)索赔通知文件必须同时附有:</w:t>
      </w:r>
    </w:p>
    <w:p>
      <w:pPr>
        <w:pStyle w:val="75"/>
        <w:ind w:firstLine="480"/>
      </w:pPr>
      <w:r>
        <w:t>1.一项书面声明，声明索赔款项并未由被保证人或其代理人直接或间接地支付给你方;</w:t>
      </w:r>
    </w:p>
    <w:p>
      <w:pPr>
        <w:pStyle w:val="75"/>
        <w:ind w:firstLine="480"/>
      </w:pPr>
      <w:r>
        <w:t>2.证明被保证人违反上述合同或协议约定的义务以及有责任支付你方索赔金额的证据。</w:t>
      </w:r>
    </w:p>
    <w:p>
      <w:pPr>
        <w:pStyle w:val="75"/>
        <w:ind w:firstLine="480"/>
      </w:pPr>
      <w:r>
        <w:t>(三)索赔通知文件必须在本保函有效期内到达以下地址：</w:t>
      </w:r>
    </w:p>
    <w:p>
      <w:pPr>
        <w:pStyle w:val="75"/>
        <w:ind w:firstLine="480"/>
      </w:pPr>
      <w:r>
        <w:t>__________________________________________________。</w:t>
      </w:r>
    </w:p>
    <w:p>
      <w:pPr>
        <w:pStyle w:val="75"/>
        <w:ind w:firstLine="480"/>
      </w:pPr>
      <w:r>
        <w:t>五、本保函保证金额将随被保证人逐步履行保函项下合同约定或法定的义务以及我方按你方索赔通知文件要求分次支付而相应递减。</w:t>
      </w:r>
    </w:p>
    <w:p>
      <w:pPr>
        <w:pStyle w:val="75"/>
        <w:ind w:firstLine="480"/>
      </w:pPr>
      <w:r>
        <w:t>六、本保函项下的权利不得转让，不得设定担保。受益人未经我方书面同意转让本保函或其项下任何权利，我方在本保函项下的义务与责任全部消灭。</w:t>
      </w:r>
    </w:p>
    <w:p>
      <w:pPr>
        <w:pStyle w:val="75"/>
        <w:ind w:firstLine="480"/>
      </w:pPr>
      <w:r>
        <w:t>七、本保函项下的合同或基础交易不成立、不生效、无效、被撤销、被解除，本保函无效;被保证人基于保函项下的合同或基础交易或其他原因的抗辩，我方均有权主张。</w:t>
      </w:r>
    </w:p>
    <w:p>
      <w:pPr>
        <w:pStyle w:val="75"/>
        <w:ind w:firstLine="480"/>
      </w:pPr>
      <w:r>
        <w:t>八、因本保函发生争议协商解决不成，按以下第</w:t>
      </w:r>
      <w:r>
        <w:rPr>
          <w:u w:val="single"/>
        </w:rPr>
        <w:t xml:space="preserve"> (一)</w:t>
      </w:r>
      <w:r>
        <w:t>种方式解决:</w:t>
      </w:r>
    </w:p>
    <w:p>
      <w:pPr>
        <w:pStyle w:val="75"/>
        <w:ind w:firstLine="480"/>
      </w:pPr>
      <w:r>
        <w:t>(一)向</w:t>
      </w:r>
      <w:r>
        <w:rPr>
          <w:rFonts w:hint="eastAsia"/>
        </w:rPr>
        <w:t>采购人</w:t>
      </w:r>
      <w:r>
        <w:t>方所在地的人民法院起诉。</w:t>
      </w:r>
    </w:p>
    <w:p>
      <w:pPr>
        <w:pStyle w:val="75"/>
        <w:ind w:firstLine="480"/>
      </w:pPr>
      <w:r>
        <w:t>(二)提交</w:t>
      </w:r>
      <w:r>
        <w:rPr>
          <w:u w:val="single"/>
        </w:rPr>
        <w:t xml:space="preserve"> 此栏空白 </w:t>
      </w:r>
      <w:r>
        <w:t>仲裁委员会(仲裁地点为此栏空白)按照申请仲裁时该会现行有效的仲裁规则进行仲裁。仲裁裁决是终局的，对双方均有约束力。</w:t>
      </w:r>
    </w:p>
    <w:p>
      <w:pPr>
        <w:pStyle w:val="75"/>
        <w:ind w:firstLine="480"/>
      </w:pPr>
      <w:r>
        <w:t>九、本保函适用中华人民共和国法律。</w:t>
      </w:r>
    </w:p>
    <w:p>
      <w:pPr>
        <w:pStyle w:val="75"/>
        <w:ind w:firstLine="480"/>
      </w:pPr>
      <w:r>
        <w:t>十、其他条款:</w:t>
      </w:r>
    </w:p>
    <w:p>
      <w:pPr>
        <w:pStyle w:val="75"/>
        <w:ind w:firstLine="480"/>
      </w:pPr>
      <w:r>
        <w:t>1.本保函有效期届满或提前终止，本保函自动失效，我方在本保函项下的义务与责任自动全部消灭，此后提出的任何索赔均为无效索赔，我方无义务作出任何赔付。</w:t>
      </w:r>
    </w:p>
    <w:p>
      <w:pPr>
        <w:pStyle w:val="75"/>
        <w:ind w:firstLine="480"/>
      </w:pPr>
      <w:r>
        <w:t>2.所有索赔通知必须在我方工作时间内到达本保函规定的地址。</w:t>
      </w:r>
    </w:p>
    <w:p>
      <w:pPr>
        <w:pStyle w:val="75"/>
        <w:ind w:firstLine="480"/>
      </w:pPr>
      <w:r>
        <w:t>十一、本保函自我方盖章之日起生效。</w:t>
      </w:r>
    </w:p>
    <w:p>
      <w:pPr>
        <w:pStyle w:val="75"/>
      </w:pPr>
      <w:r>
        <w:t>保证人：___________(盖章)</w:t>
      </w:r>
    </w:p>
    <w:p>
      <w:pPr>
        <w:pStyle w:val="75"/>
      </w:pPr>
      <w:r>
        <w:t>联系地址：_______________</w:t>
      </w:r>
    </w:p>
    <w:p>
      <w:pPr>
        <w:pStyle w:val="75"/>
      </w:pPr>
      <w:r>
        <w:t>联系电话：_______________</w:t>
      </w:r>
    </w:p>
    <w:p>
      <w:pPr>
        <w:pStyle w:val="75"/>
      </w:pPr>
      <w:r>
        <w:t>开立日期：___年___月___日</w:t>
      </w:r>
    </w:p>
    <w:p>
      <w:pPr>
        <w:pStyle w:val="75"/>
        <w:outlineLvl w:val="2"/>
        <w:rPr>
          <w:b/>
          <w:sz w:val="28"/>
        </w:rPr>
      </w:pPr>
      <w:bookmarkStart w:id="38" w:name="_Hlk214954640"/>
      <w:r>
        <w:rPr>
          <w:b/>
          <w:sz w:val="28"/>
        </w:rPr>
        <w:t>格式二十</w:t>
      </w:r>
      <w:r>
        <w:rPr>
          <w:rFonts w:hint="eastAsia"/>
          <w:b/>
          <w:sz w:val="28"/>
        </w:rPr>
        <w:t>一</w:t>
      </w:r>
      <w:r>
        <w:rPr>
          <w:b/>
          <w:sz w:val="28"/>
        </w:rPr>
        <w:t>：</w:t>
      </w:r>
      <w:r>
        <w:rPr>
          <w:rFonts w:hint="eastAsia"/>
          <w:b/>
          <w:sz w:val="28"/>
        </w:rPr>
        <w:t>初步审查自查表</w:t>
      </w:r>
    </w:p>
    <w:tbl>
      <w:tblPr>
        <w:tblStyle w:val="30"/>
        <w:tblW w:w="9137" w:type="dxa"/>
        <w:jc w:val="center"/>
        <w:tblLayout w:type="fixed"/>
        <w:tblCellMar>
          <w:top w:w="0" w:type="dxa"/>
          <w:left w:w="0" w:type="dxa"/>
          <w:bottom w:w="0" w:type="dxa"/>
          <w:right w:w="0" w:type="dxa"/>
        </w:tblCellMar>
      </w:tblPr>
      <w:tblGrid>
        <w:gridCol w:w="1272"/>
        <w:gridCol w:w="5414"/>
        <w:gridCol w:w="2451"/>
      </w:tblGrid>
      <w:tr>
        <w:tblPrEx>
          <w:tblCellMar>
            <w:top w:w="0" w:type="dxa"/>
            <w:left w:w="0" w:type="dxa"/>
            <w:bottom w:w="0" w:type="dxa"/>
            <w:right w:w="0" w:type="dxa"/>
          </w:tblCellMar>
        </w:tblPrEx>
        <w:trPr>
          <w:trHeight w:val="339" w:hRule="atLeast"/>
          <w:jc w:val="center"/>
        </w:trPr>
        <w:tc>
          <w:tcPr>
            <w:tcW w:w="9137" w:type="dxa"/>
            <w:gridSpan w:val="3"/>
            <w:tcBorders>
              <w:top w:val="nil"/>
              <w:left w:val="nil"/>
              <w:bottom w:val="single" w:color="auto" w:sz="4" w:space="0"/>
            </w:tcBorders>
            <w:vAlign w:val="center"/>
          </w:tcPr>
          <w:p>
            <w:pPr>
              <w:ind w:left="17" w:hanging="16" w:hangingChars="6"/>
              <w:jc w:val="center"/>
              <w:rPr>
                <w:rFonts w:ascii="Times New Roman" w:hAnsi="Times New Roman"/>
                <w:bCs/>
                <w:sz w:val="28"/>
                <w:szCs w:val="28"/>
              </w:rPr>
            </w:pPr>
            <w:r>
              <w:rPr>
                <w:rFonts w:hint="eastAsia" w:ascii="Times New Roman" w:hAnsi="Times New Roman"/>
                <w:bCs/>
                <w:sz w:val="28"/>
              </w:rPr>
              <w:t>初步审查自查表</w:t>
            </w:r>
          </w:p>
        </w:tc>
      </w:tr>
      <w:tr>
        <w:tblPrEx>
          <w:tblCellMar>
            <w:top w:w="0" w:type="dxa"/>
            <w:left w:w="0" w:type="dxa"/>
            <w:bottom w:w="0" w:type="dxa"/>
            <w:right w:w="0" w:type="dxa"/>
          </w:tblCellMar>
        </w:tblPrEx>
        <w:trPr>
          <w:trHeight w:val="567"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Cs w:val="21"/>
              </w:rPr>
            </w:pPr>
            <w:r>
              <w:rPr>
                <w:rFonts w:ascii="Times New Roman" w:hAnsi="Times New Roman"/>
                <w:bCs/>
                <w:szCs w:val="21"/>
              </w:rPr>
              <w:t>评审内容</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szCs w:val="21"/>
              </w:rPr>
            </w:pPr>
            <w:r>
              <w:rPr>
                <w:rFonts w:ascii="Times New Roman" w:hAnsi="Times New Roman"/>
                <w:bCs/>
                <w:szCs w:val="21"/>
              </w:rPr>
              <w:t>招标文件要求</w:t>
            </w:r>
          </w:p>
          <w:p>
            <w:pPr>
              <w:ind w:left="-171"/>
              <w:jc w:val="center"/>
              <w:rPr>
                <w:rFonts w:ascii="Times New Roman" w:hAnsi="Times New Roman"/>
                <w:bCs/>
                <w:szCs w:val="21"/>
              </w:rPr>
            </w:pPr>
            <w:r>
              <w:rPr>
                <w:rFonts w:ascii="Times New Roman" w:hAnsi="Times New Roman"/>
                <w:szCs w:val="21"/>
              </w:rPr>
              <w:t>（详见《评标办法前附表》各项）</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Times New Roman" w:hAnsi="Times New Roman"/>
                <w:bCs/>
                <w:szCs w:val="21"/>
              </w:rPr>
            </w:pPr>
            <w:r>
              <w:rPr>
                <w:rFonts w:ascii="Times New Roman" w:hAnsi="Times New Roman"/>
                <w:bCs/>
                <w:szCs w:val="21"/>
              </w:rPr>
              <w:t>自查结论</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1</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投标人名称</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2</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投标函签字盖章</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3</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营业执照</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4</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不存在禁止投标的情形</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5</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投标报价</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6</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投标有效期</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r>
        <w:tblPrEx>
          <w:tblCellMar>
            <w:top w:w="0" w:type="dxa"/>
            <w:left w:w="0" w:type="dxa"/>
            <w:bottom w:w="0" w:type="dxa"/>
            <w:right w:w="0" w:type="dxa"/>
          </w:tblCellMar>
        </w:tblPrEx>
        <w:trPr>
          <w:trHeight w:val="813" w:hRule="atLeast"/>
          <w:jc w:val="center"/>
        </w:trPr>
        <w:tc>
          <w:tcPr>
            <w:tcW w:w="1272" w:type="dxa"/>
            <w:tcBorders>
              <w:top w:val="single" w:color="auto" w:sz="4" w:space="0"/>
              <w:left w:val="single" w:color="auto" w:sz="4" w:space="0"/>
              <w:bottom w:val="single" w:color="auto" w:sz="4" w:space="0"/>
              <w:right w:val="single" w:color="auto" w:sz="4" w:space="0"/>
            </w:tcBorders>
            <w:vAlign w:val="center"/>
          </w:tcPr>
          <w:p>
            <w:pPr>
              <w:ind w:left="46" w:leftChars="19"/>
              <w:jc w:val="center"/>
              <w:rPr>
                <w:rFonts w:ascii="Times New Roman" w:hAnsi="Times New Roman"/>
              </w:rPr>
            </w:pPr>
            <w:r>
              <w:rPr>
                <w:rFonts w:ascii="Times New Roman" w:hAnsi="Times New Roman"/>
              </w:rPr>
              <w:t>7</w:t>
            </w:r>
          </w:p>
        </w:tc>
        <w:tc>
          <w:tcPr>
            <w:tcW w:w="5414" w:type="dxa"/>
            <w:tcBorders>
              <w:top w:val="single" w:color="auto" w:sz="4" w:space="0"/>
              <w:left w:val="single" w:color="auto" w:sz="4" w:space="0"/>
              <w:bottom w:val="single" w:color="auto" w:sz="4" w:space="0"/>
              <w:right w:val="single" w:color="auto" w:sz="4" w:space="0"/>
            </w:tcBorders>
            <w:vAlign w:val="center"/>
          </w:tcPr>
          <w:p>
            <w:pPr>
              <w:ind w:left="46" w:leftChars="19"/>
              <w:rPr>
                <w:rFonts w:ascii="Times New Roman" w:hAnsi="Times New Roman"/>
              </w:rPr>
            </w:pPr>
            <w:r>
              <w:rPr>
                <w:rFonts w:hint="eastAsia" w:ascii="Times New Roman" w:hAnsi="Times New Roman"/>
              </w:rPr>
              <w:t>投标保证金</w:t>
            </w:r>
          </w:p>
        </w:tc>
        <w:tc>
          <w:tcPr>
            <w:tcW w:w="2451" w:type="dxa"/>
            <w:tcBorders>
              <w:top w:val="single" w:color="auto" w:sz="4" w:space="0"/>
              <w:left w:val="single" w:color="auto" w:sz="4" w:space="0"/>
              <w:bottom w:val="single" w:color="auto" w:sz="4" w:space="0"/>
              <w:right w:val="single" w:color="auto" w:sz="4" w:space="0"/>
            </w:tcBorders>
            <w:vAlign w:val="center"/>
          </w:tcPr>
          <w:p>
            <w:pPr>
              <w:ind w:left="-171"/>
              <w:jc w:val="center"/>
              <w:rPr>
                <w:rFonts w:ascii="宋体"/>
                <w:szCs w:val="21"/>
              </w:rPr>
            </w:pPr>
            <w:r>
              <w:rPr>
                <w:rFonts w:ascii="宋体"/>
                <w:szCs w:val="21"/>
              </w:rPr>
              <w:t>□满足 □不满足</w:t>
            </w:r>
          </w:p>
        </w:tc>
      </w:tr>
    </w:tbl>
    <w:p>
      <w:pPr>
        <w:rPr>
          <w:b/>
          <w:sz w:val="28"/>
        </w:rPr>
      </w:pPr>
    </w:p>
    <w:p>
      <w:pPr>
        <w:rPr>
          <w:rFonts w:ascii="黑体" w:eastAsia="黑体"/>
          <w:bCs/>
          <w:sz w:val="28"/>
        </w:rPr>
      </w:pPr>
      <w:r>
        <w:rPr>
          <w:b/>
          <w:sz w:val="28"/>
        </w:rPr>
        <w:t>格式二十</w:t>
      </w:r>
      <w:r>
        <w:rPr>
          <w:rFonts w:hint="eastAsia"/>
          <w:b/>
          <w:sz w:val="28"/>
        </w:rPr>
        <w:t>三</w:t>
      </w:r>
      <w:r>
        <w:rPr>
          <w:b/>
          <w:sz w:val="28"/>
        </w:rPr>
        <w:t>：</w:t>
      </w:r>
      <w:r>
        <w:rPr>
          <w:rFonts w:hint="eastAsia" w:ascii="黑体" w:eastAsia="黑体" w:cs="Times New Roman"/>
          <w:bCs/>
          <w:sz w:val="28"/>
        </w:rPr>
        <w:t>技术评分、商务评分</w:t>
      </w:r>
      <w:r>
        <w:rPr>
          <w:rFonts w:ascii="黑体" w:eastAsia="黑体" w:cs="Times New Roman"/>
          <w:bCs/>
          <w:sz w:val="28"/>
        </w:rPr>
        <w:t>自</w:t>
      </w:r>
      <w:r>
        <w:rPr>
          <w:rFonts w:ascii="黑体" w:eastAsia="黑体"/>
          <w:bCs/>
          <w:sz w:val="28"/>
        </w:rPr>
        <w:t>查表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74"/>
        <w:gridCol w:w="2338"/>
        <w:gridCol w:w="1350"/>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374" w:type="dxa"/>
            <w:vAlign w:val="center"/>
          </w:tcPr>
          <w:p>
            <w:pPr>
              <w:jc w:val="center"/>
              <w:rPr>
                <w:rFonts w:ascii="Times New Roman" w:hAnsi="Times New Roman"/>
                <w:b/>
                <w:szCs w:val="21"/>
              </w:rPr>
            </w:pPr>
            <w:r>
              <w:rPr>
                <w:rFonts w:ascii="Times New Roman" w:hAnsi="Times New Roman"/>
                <w:b/>
                <w:szCs w:val="21"/>
              </w:rPr>
              <w:t>序号</w:t>
            </w:r>
          </w:p>
        </w:tc>
        <w:tc>
          <w:tcPr>
            <w:tcW w:w="2338" w:type="dxa"/>
            <w:vAlign w:val="center"/>
          </w:tcPr>
          <w:p>
            <w:pPr>
              <w:adjustRightInd w:val="0"/>
              <w:snapToGrid w:val="0"/>
              <w:jc w:val="center"/>
              <w:rPr>
                <w:rFonts w:ascii="Times New Roman" w:hAnsi="Times New Roman"/>
                <w:b/>
                <w:szCs w:val="21"/>
              </w:rPr>
            </w:pPr>
            <w:r>
              <w:rPr>
                <w:rFonts w:hint="eastAsia" w:ascii="宋体"/>
                <w:bCs/>
                <w:szCs w:val="21"/>
              </w:rPr>
              <w:t>评审项目</w:t>
            </w:r>
          </w:p>
        </w:tc>
        <w:tc>
          <w:tcPr>
            <w:tcW w:w="1350" w:type="dxa"/>
            <w:vAlign w:val="center"/>
          </w:tcPr>
          <w:p>
            <w:pPr>
              <w:adjustRightInd w:val="0"/>
              <w:snapToGrid w:val="0"/>
              <w:jc w:val="center"/>
              <w:rPr>
                <w:rFonts w:ascii="Times New Roman" w:hAnsi="Times New Roman"/>
                <w:b/>
                <w:szCs w:val="21"/>
              </w:rPr>
            </w:pPr>
            <w:r>
              <w:rPr>
                <w:rFonts w:hint="eastAsia" w:ascii="宋体"/>
                <w:bCs/>
                <w:szCs w:val="21"/>
              </w:rPr>
              <w:t>评审细则</w:t>
            </w:r>
          </w:p>
        </w:tc>
        <w:tc>
          <w:tcPr>
            <w:tcW w:w="1220" w:type="dxa"/>
            <w:vAlign w:val="center"/>
          </w:tcPr>
          <w:p>
            <w:pPr>
              <w:jc w:val="center"/>
              <w:rPr>
                <w:rFonts w:ascii="Times New Roman" w:hAnsi="Times New Roman"/>
                <w:b/>
                <w:szCs w:val="21"/>
              </w:rPr>
            </w:pPr>
            <w:r>
              <w:rPr>
                <w:rFonts w:hint="eastAsia" w:ascii="Times New Roman" w:hAnsi="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2374" w:type="dxa"/>
            <w:vAlign w:val="center"/>
          </w:tcPr>
          <w:p>
            <w:pPr>
              <w:jc w:val="center"/>
              <w:rPr>
                <w:rFonts w:ascii="Times New Roman" w:hAnsi="Times New Roman"/>
                <w:szCs w:val="21"/>
              </w:rPr>
            </w:pPr>
            <w:bookmarkStart w:id="39" w:name="XXPSZCTable_7590"/>
            <w:r>
              <w:rPr>
                <w:rFonts w:hint="eastAsia" w:ascii="Times New Roman" w:hAnsi="Times New Roman"/>
                <w:szCs w:val="21"/>
              </w:rPr>
              <w:t>详细评审自查表</w:t>
            </w:r>
            <w:bookmarkEnd w:id="39"/>
          </w:p>
        </w:tc>
        <w:tc>
          <w:tcPr>
            <w:tcW w:w="2338"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技术评审</w:t>
            </w:r>
          </w:p>
        </w:tc>
        <w:tc>
          <w:tcPr>
            <w:tcW w:w="1350"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p>
        </w:tc>
        <w:tc>
          <w:tcPr>
            <w:tcW w:w="1220" w:type="dxa"/>
            <w:vAlign w:val="center"/>
          </w:tcPr>
          <w:p>
            <w:pPr>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2374" w:type="dxa"/>
            <w:vAlign w:val="center"/>
          </w:tcPr>
          <w:p>
            <w:pPr>
              <w:jc w:val="center"/>
              <w:rPr>
                <w:rFonts w:ascii="Times New Roman" w:hAnsi="Times New Roman"/>
                <w:szCs w:val="21"/>
              </w:rPr>
            </w:pPr>
            <w:r>
              <w:rPr>
                <w:rFonts w:ascii="Times New Roman" w:hAnsi="Times New Roman"/>
                <w:szCs w:val="21"/>
              </w:rPr>
              <w:t>1</w:t>
            </w:r>
          </w:p>
        </w:tc>
        <w:tc>
          <w:tcPr>
            <w:tcW w:w="2338" w:type="dxa"/>
            <w:tcBorders>
              <w:top w:val="single" w:color="auto" w:sz="4" w:space="0"/>
              <w:left w:val="single" w:color="auto" w:sz="4" w:space="0"/>
              <w:right w:val="single" w:color="auto" w:sz="4" w:space="0"/>
            </w:tcBorders>
            <w:vAlign w:val="center"/>
          </w:tcPr>
          <w:p>
            <w:pPr>
              <w:pStyle w:val="81"/>
              <w:spacing w:line="261" w:lineRule="exact"/>
              <w:ind w:left="101"/>
              <w:jc w:val="both"/>
              <w:rPr>
                <w:rFonts w:ascii="宋体"/>
                <w:bCs/>
                <w:kern w:val="2"/>
                <w:sz w:val="21"/>
                <w:szCs w:val="21"/>
              </w:rPr>
            </w:pPr>
          </w:p>
        </w:tc>
        <w:tc>
          <w:tcPr>
            <w:tcW w:w="1350" w:type="dxa"/>
            <w:tcBorders>
              <w:top w:val="single" w:color="auto" w:sz="4" w:space="0"/>
              <w:left w:val="single" w:color="auto" w:sz="4" w:space="0"/>
              <w:right w:val="single" w:color="auto" w:sz="4" w:space="0"/>
            </w:tcBorders>
            <w:vAlign w:val="center"/>
          </w:tcPr>
          <w:p>
            <w:pPr>
              <w:pStyle w:val="81"/>
              <w:spacing w:line="261" w:lineRule="exact"/>
              <w:jc w:val="both"/>
              <w:rPr>
                <w:rFonts w:ascii="宋体"/>
                <w:bCs/>
                <w:kern w:val="2"/>
                <w:sz w:val="21"/>
                <w:szCs w:val="21"/>
              </w:rPr>
            </w:pPr>
          </w:p>
        </w:tc>
        <w:tc>
          <w:tcPr>
            <w:tcW w:w="1220" w:type="dxa"/>
            <w:vAlign w:val="center"/>
          </w:tcPr>
          <w:p>
            <w:pPr>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2374" w:type="dxa"/>
            <w:vAlign w:val="center"/>
          </w:tcPr>
          <w:p>
            <w:pPr>
              <w:jc w:val="center"/>
              <w:rPr>
                <w:rFonts w:ascii="Times New Roman" w:hAnsi="Times New Roman"/>
                <w:szCs w:val="21"/>
              </w:rPr>
            </w:pPr>
            <w:r>
              <w:rPr>
                <w:rFonts w:ascii="Times New Roman" w:hAnsi="Times New Roman"/>
                <w:szCs w:val="21"/>
              </w:rPr>
              <w:t>2</w:t>
            </w:r>
          </w:p>
        </w:tc>
        <w:tc>
          <w:tcPr>
            <w:tcW w:w="2338" w:type="dxa"/>
            <w:tcBorders>
              <w:top w:val="single" w:color="auto" w:sz="4" w:space="0"/>
              <w:left w:val="single" w:color="auto" w:sz="4" w:space="0"/>
              <w:right w:val="single" w:color="auto" w:sz="4" w:space="0"/>
            </w:tcBorders>
            <w:vAlign w:val="center"/>
          </w:tcPr>
          <w:p>
            <w:pPr>
              <w:pStyle w:val="81"/>
              <w:spacing w:line="261" w:lineRule="exact"/>
              <w:jc w:val="both"/>
              <w:rPr>
                <w:rFonts w:ascii="宋体"/>
                <w:bCs/>
                <w:kern w:val="2"/>
                <w:sz w:val="21"/>
                <w:szCs w:val="21"/>
              </w:rPr>
            </w:pPr>
          </w:p>
        </w:tc>
        <w:tc>
          <w:tcPr>
            <w:tcW w:w="1350" w:type="dxa"/>
            <w:tcBorders>
              <w:top w:val="single" w:color="auto" w:sz="4" w:space="0"/>
              <w:left w:val="single" w:color="auto" w:sz="4" w:space="0"/>
              <w:right w:val="single" w:color="auto" w:sz="4" w:space="0"/>
            </w:tcBorders>
            <w:vAlign w:val="center"/>
          </w:tcPr>
          <w:p>
            <w:pPr>
              <w:pStyle w:val="81"/>
              <w:spacing w:line="261" w:lineRule="exact"/>
              <w:jc w:val="both"/>
              <w:rPr>
                <w:rFonts w:ascii="宋体"/>
                <w:bCs/>
                <w:kern w:val="2"/>
                <w:sz w:val="21"/>
                <w:szCs w:val="21"/>
              </w:rPr>
            </w:pPr>
          </w:p>
        </w:tc>
        <w:tc>
          <w:tcPr>
            <w:tcW w:w="1220" w:type="dxa"/>
            <w:vAlign w:val="center"/>
          </w:tcPr>
          <w:p>
            <w:pPr>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2374" w:type="dxa"/>
            <w:vAlign w:val="center"/>
          </w:tcPr>
          <w:p>
            <w:pPr>
              <w:jc w:val="center"/>
              <w:rPr>
                <w:rFonts w:ascii="Times New Roman" w:hAnsi="Times New Roman"/>
                <w:szCs w:val="21"/>
              </w:rPr>
            </w:pPr>
          </w:p>
        </w:tc>
        <w:tc>
          <w:tcPr>
            <w:tcW w:w="2338"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r>
              <w:rPr>
                <w:rFonts w:hint="eastAsia" w:ascii="Times New Roman" w:hAnsi="Times New Roman"/>
                <w:szCs w:val="21"/>
              </w:rPr>
              <w:t>商务评审</w:t>
            </w:r>
          </w:p>
        </w:tc>
        <w:tc>
          <w:tcPr>
            <w:tcW w:w="1350" w:type="dxa"/>
            <w:tcBorders>
              <w:top w:val="single" w:color="auto" w:sz="4" w:space="0"/>
              <w:left w:val="single" w:color="auto" w:sz="4" w:space="0"/>
              <w:right w:val="single" w:color="auto" w:sz="4" w:space="0"/>
            </w:tcBorders>
            <w:vAlign w:val="center"/>
          </w:tcPr>
          <w:p>
            <w:pPr>
              <w:jc w:val="center"/>
              <w:rPr>
                <w:rFonts w:ascii="Times New Roman" w:hAnsi="Times New Roman"/>
                <w:szCs w:val="21"/>
              </w:rPr>
            </w:pPr>
          </w:p>
        </w:tc>
        <w:tc>
          <w:tcPr>
            <w:tcW w:w="1220" w:type="dxa"/>
            <w:vAlign w:val="center"/>
          </w:tcPr>
          <w:p>
            <w:pPr>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2374" w:type="dxa"/>
            <w:vAlign w:val="center"/>
          </w:tcPr>
          <w:p>
            <w:pPr>
              <w:jc w:val="center"/>
              <w:rPr>
                <w:rFonts w:ascii="Times New Roman" w:hAnsi="Times New Roman"/>
                <w:szCs w:val="21"/>
              </w:rPr>
            </w:pPr>
            <w:r>
              <w:rPr>
                <w:rFonts w:ascii="Times New Roman" w:hAnsi="Times New Roman"/>
                <w:szCs w:val="21"/>
              </w:rPr>
              <w:t>1</w:t>
            </w:r>
          </w:p>
        </w:tc>
        <w:tc>
          <w:tcPr>
            <w:tcW w:w="2338" w:type="dxa"/>
            <w:tcBorders>
              <w:top w:val="single" w:color="auto" w:sz="4" w:space="0"/>
              <w:left w:val="single" w:color="auto" w:sz="4" w:space="0"/>
              <w:right w:val="single" w:color="auto" w:sz="4" w:space="0"/>
            </w:tcBorders>
            <w:vAlign w:val="center"/>
          </w:tcPr>
          <w:p>
            <w:pPr>
              <w:pStyle w:val="75"/>
              <w:jc w:val="center"/>
              <w:rPr>
                <w:rFonts w:ascii="宋体" w:cs="黑体"/>
                <w:bCs/>
                <w:kern w:val="2"/>
                <w:sz w:val="24"/>
                <w:szCs w:val="21"/>
              </w:rPr>
            </w:pPr>
          </w:p>
        </w:tc>
        <w:tc>
          <w:tcPr>
            <w:tcW w:w="1350" w:type="dxa"/>
            <w:tcBorders>
              <w:top w:val="single" w:color="auto" w:sz="4" w:space="0"/>
              <w:left w:val="single" w:color="auto" w:sz="4" w:space="0"/>
              <w:right w:val="single" w:color="auto" w:sz="4" w:space="0"/>
            </w:tcBorders>
          </w:tcPr>
          <w:p>
            <w:pPr>
              <w:pStyle w:val="75"/>
              <w:rPr>
                <w:rFonts w:ascii="宋体" w:cs="黑体"/>
                <w:bCs/>
                <w:kern w:val="2"/>
                <w:sz w:val="24"/>
                <w:szCs w:val="21"/>
              </w:rPr>
            </w:pPr>
          </w:p>
        </w:tc>
        <w:tc>
          <w:tcPr>
            <w:tcW w:w="1220" w:type="dxa"/>
            <w:vAlign w:val="center"/>
          </w:tcPr>
          <w:p>
            <w:pPr>
              <w:jc w:val="center"/>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jc w:val="center"/>
        </w:trPr>
        <w:tc>
          <w:tcPr>
            <w:tcW w:w="2374" w:type="dxa"/>
            <w:vAlign w:val="center"/>
          </w:tcPr>
          <w:p>
            <w:pPr>
              <w:jc w:val="center"/>
              <w:rPr>
                <w:rFonts w:ascii="Times New Roman" w:hAnsi="Times New Roman"/>
                <w:szCs w:val="21"/>
              </w:rPr>
            </w:pPr>
            <w:r>
              <w:rPr>
                <w:rFonts w:ascii="Times New Roman" w:hAnsi="Times New Roman"/>
                <w:szCs w:val="21"/>
              </w:rPr>
              <w:t>2</w:t>
            </w:r>
          </w:p>
        </w:tc>
        <w:tc>
          <w:tcPr>
            <w:tcW w:w="2338" w:type="dxa"/>
            <w:tcBorders>
              <w:top w:val="single" w:color="auto" w:sz="4" w:space="0"/>
              <w:left w:val="single" w:color="auto" w:sz="4" w:space="0"/>
              <w:right w:val="single" w:color="auto" w:sz="4" w:space="0"/>
            </w:tcBorders>
          </w:tcPr>
          <w:p>
            <w:pPr>
              <w:pStyle w:val="75"/>
              <w:rPr>
                <w:rFonts w:ascii="宋体" w:cs="黑体"/>
                <w:bCs/>
                <w:kern w:val="2"/>
                <w:sz w:val="24"/>
                <w:szCs w:val="21"/>
              </w:rPr>
            </w:pPr>
          </w:p>
        </w:tc>
        <w:tc>
          <w:tcPr>
            <w:tcW w:w="1350" w:type="dxa"/>
            <w:tcBorders>
              <w:top w:val="single" w:color="auto" w:sz="4" w:space="0"/>
              <w:left w:val="single" w:color="auto" w:sz="4" w:space="0"/>
              <w:right w:val="single" w:color="auto" w:sz="4" w:space="0"/>
            </w:tcBorders>
          </w:tcPr>
          <w:p>
            <w:pPr>
              <w:pStyle w:val="75"/>
              <w:rPr>
                <w:rFonts w:ascii="宋体" w:cs="黑体"/>
                <w:bCs/>
                <w:kern w:val="2"/>
                <w:sz w:val="24"/>
                <w:szCs w:val="21"/>
              </w:rPr>
            </w:pPr>
          </w:p>
        </w:tc>
        <w:tc>
          <w:tcPr>
            <w:tcW w:w="1220" w:type="dxa"/>
            <w:vAlign w:val="center"/>
          </w:tcPr>
          <w:p>
            <w:pPr>
              <w:jc w:val="center"/>
              <w:rPr>
                <w:rFonts w:ascii="Times New Roman" w:hAnsi="Times New Roman"/>
                <w:szCs w:val="21"/>
              </w:rPr>
            </w:pPr>
          </w:p>
        </w:tc>
      </w:tr>
      <w:bookmarkEnd w:id="38"/>
    </w:tbl>
    <w:p>
      <w:pPr>
        <w:rPr>
          <w:b/>
          <w:sz w:val="28"/>
        </w:rPr>
      </w:pPr>
    </w:p>
    <w:p>
      <w:pPr>
        <w:rPr>
          <w:b/>
          <w:sz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华文楷体">
    <w:altName w:val="宋体"/>
    <w:panose1 w:val="02010600040101010101"/>
    <w:charset w:val="86"/>
    <w:family w:val="auto"/>
    <w:pitch w:val="default"/>
    <w:sig w:usb0="00000000" w:usb1="00000000" w:usb2="00000010" w:usb3="00000000" w:csb0="0004009F"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方正仿宋_GBK">
    <w:altName w:val="微软雅黑"/>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34"/>
      </w:rPr>
    </w:pPr>
    <w:r>
      <w:rPr>
        <w:rStyle w:val="34"/>
      </w:rPr>
      <w:fldChar w:fldCharType="begin"/>
    </w:r>
    <w:r>
      <w:rPr>
        <w:rStyle w:val="34"/>
      </w:rPr>
      <w:instrText xml:space="preserve"> PAGE </w:instrText>
    </w:r>
    <w:r>
      <w:fldChar w:fldCharType="separate"/>
    </w:r>
    <w:r>
      <w:rPr>
        <w:rStyle w:val="34"/>
      </w:rPr>
      <w:t>57</w:t>
    </w:r>
    <w: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rFonts w:hint="eastAsia"/>
      </w:rPr>
      <w:t>广州市政府采购中心招标文件                             项目编号：QCZ2026-0026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rFonts w:hint="eastAsia"/>
      </w:rPr>
      <w:t>广州市政府采购中心招标文件                             项目编号：CZ2023-1308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rFonts w:hint="eastAsia"/>
      </w:rPr>
      <w:t>广州市政府采购中心招标文件                             项目编号：CZ2023-1308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72189"/>
    <w:multiLevelType w:val="singleLevel"/>
    <w:tmpl w:val="BD472189"/>
    <w:lvl w:ilvl="0" w:tentative="0">
      <w:start w:val="1"/>
      <w:numFmt w:val="decimal"/>
      <w:lvlText w:val="%1."/>
      <w:lvlJc w:val="left"/>
      <w:pPr>
        <w:tabs>
          <w:tab w:val="left" w:pos="312"/>
        </w:tabs>
      </w:pPr>
    </w:lvl>
  </w:abstractNum>
  <w:abstractNum w:abstractNumId="1">
    <w:nsid w:val="EB21E8B0"/>
    <w:multiLevelType w:val="singleLevel"/>
    <w:tmpl w:val="EB21E8B0"/>
    <w:lvl w:ilvl="0" w:tentative="0">
      <w:start w:val="1"/>
      <w:numFmt w:val="decimal"/>
      <w:lvlText w:val="%1."/>
      <w:lvlJc w:val="left"/>
      <w:pPr>
        <w:tabs>
          <w:tab w:val="left" w:pos="312"/>
        </w:tabs>
      </w:pPr>
    </w:lvl>
  </w:abstractNum>
  <w:abstractNum w:abstractNumId="2">
    <w:nsid w:val="27E61768"/>
    <w:multiLevelType w:val="singleLevel"/>
    <w:tmpl w:val="27E61768"/>
    <w:lvl w:ilvl="0" w:tentative="0">
      <w:start w:val="5"/>
      <w:numFmt w:val="chineseCounting"/>
      <w:suff w:val="space"/>
      <w:lvlText w:val="第%1章"/>
      <w:lvlJc w:val="left"/>
      <w:pPr>
        <w:ind w:left="0" w:firstLine="0"/>
      </w:pPr>
      <w:rPr>
        <w:rFonts w:hint="eastAsia"/>
        <w:b/>
        <w:bCs/>
      </w:rPr>
    </w:lvl>
  </w:abstractNum>
  <w:abstractNum w:abstractNumId="3">
    <w:nsid w:val="32411EB3"/>
    <w:multiLevelType w:val="multilevel"/>
    <w:tmpl w:val="32411EB3"/>
    <w:lvl w:ilvl="0" w:tentative="0">
      <w:start w:val="1"/>
      <w:numFmt w:val="chineseCountingThousand"/>
      <w:pStyle w:val="43"/>
      <w:lvlText w:val="%1、"/>
      <w:lvlJc w:val="left"/>
      <w:pPr>
        <w:ind w:left="425" w:hanging="425"/>
      </w:pPr>
      <w:rPr>
        <w:rFonts w:hint="eastAsia"/>
        <w:sz w:val="24"/>
        <w:szCs w:val="24"/>
      </w:rPr>
    </w:lvl>
    <w:lvl w:ilvl="1" w:tentative="0">
      <w:start w:val="1"/>
      <w:numFmt w:val="chineseCountingThousand"/>
      <w:lvlText w:val="(%2)"/>
      <w:lvlJc w:val="left"/>
      <w:pPr>
        <w:ind w:left="992" w:hanging="567"/>
      </w:pPr>
      <w:rPr>
        <w:rFonts w:hint="eastAsia" w:ascii="宋体" w:hAnsi="宋体" w:eastAsia="宋体"/>
        <w:b w:val="0"/>
        <w:color w:val="auto"/>
        <w:sz w:val="24"/>
        <w:szCs w:val="24"/>
      </w:rPr>
    </w:lvl>
    <w:lvl w:ilvl="2" w:tentative="0">
      <w:start w:val="1"/>
      <w:numFmt w:val="decimal"/>
      <w:lvlText w:val="%3."/>
      <w:lvlJc w:val="left"/>
      <w:pPr>
        <w:tabs>
          <w:tab w:val="left" w:pos="840"/>
        </w:tabs>
        <w:ind w:left="840" w:hanging="420"/>
      </w:pPr>
      <w:rPr>
        <w:rFonts w:hint="eastAsia" w:ascii="宋体" w:hAnsi="宋体" w:eastAsia="宋体"/>
        <w:color w:val="auto"/>
        <w:sz w:val="24"/>
        <w:szCs w:val="24"/>
      </w:rPr>
    </w:lvl>
    <w:lvl w:ilvl="3" w:tentative="0">
      <w:start w:val="1"/>
      <w:numFmt w:val="decimal"/>
      <w:lvlText w:val="(%4)"/>
      <w:lvlJc w:val="left"/>
      <w:pPr>
        <w:ind w:left="1984" w:hanging="708"/>
      </w:pPr>
      <w:rPr>
        <w:rFonts w:hint="eastAsia" w:ascii="仿宋_GB2312" w:hAnsi="仿宋_GB2312" w:eastAsia="仿宋_GB2312"/>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4CEA5249"/>
    <w:multiLevelType w:val="singleLevel"/>
    <w:tmpl w:val="4CEA5249"/>
    <w:lvl w:ilvl="0" w:tentative="0">
      <w:start w:val="1"/>
      <w:numFmt w:val="decimal"/>
      <w:lvlText w:val="%1."/>
      <w:lvlJc w:val="left"/>
      <w:pPr>
        <w:ind w:left="0" w:firstLine="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trackRevisions w:val="1"/>
  <w:documentProtection w:enforcement="0"/>
  <w:defaultTabStop w:val="420"/>
  <w:drawingGridHorizontalSpacing w:val="120"/>
  <w:drawingGridVerticalSpacing w:val="163"/>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0ZTc1MGFkNjJlN2QyOTFjZGMxNGRlNmUyZGIzZGEifQ=="/>
  </w:docVars>
  <w:rsids>
    <w:rsidRoot w:val="00D4497B"/>
    <w:rsid w:val="00004F4A"/>
    <w:rsid w:val="0002246F"/>
    <w:rsid w:val="00037336"/>
    <w:rsid w:val="00046965"/>
    <w:rsid w:val="00053233"/>
    <w:rsid w:val="0005749A"/>
    <w:rsid w:val="00075928"/>
    <w:rsid w:val="00097377"/>
    <w:rsid w:val="000A76CA"/>
    <w:rsid w:val="000C22FC"/>
    <w:rsid w:val="000D43F5"/>
    <w:rsid w:val="000D56CA"/>
    <w:rsid w:val="001307EE"/>
    <w:rsid w:val="001901ED"/>
    <w:rsid w:val="002004E3"/>
    <w:rsid w:val="00233AA3"/>
    <w:rsid w:val="00281153"/>
    <w:rsid w:val="0028137E"/>
    <w:rsid w:val="002F440B"/>
    <w:rsid w:val="002F5971"/>
    <w:rsid w:val="00306796"/>
    <w:rsid w:val="0031192F"/>
    <w:rsid w:val="003865C8"/>
    <w:rsid w:val="00396345"/>
    <w:rsid w:val="003F33D0"/>
    <w:rsid w:val="0045477A"/>
    <w:rsid w:val="00456D99"/>
    <w:rsid w:val="004A6FD1"/>
    <w:rsid w:val="004C6AF2"/>
    <w:rsid w:val="004E01BE"/>
    <w:rsid w:val="00507532"/>
    <w:rsid w:val="00531F89"/>
    <w:rsid w:val="00563F93"/>
    <w:rsid w:val="00572C07"/>
    <w:rsid w:val="00587EFA"/>
    <w:rsid w:val="00592164"/>
    <w:rsid w:val="005921CA"/>
    <w:rsid w:val="005927BD"/>
    <w:rsid w:val="005B30AE"/>
    <w:rsid w:val="005E292F"/>
    <w:rsid w:val="005E3B0B"/>
    <w:rsid w:val="005F6209"/>
    <w:rsid w:val="0061312C"/>
    <w:rsid w:val="0063471D"/>
    <w:rsid w:val="00647D3A"/>
    <w:rsid w:val="006534A5"/>
    <w:rsid w:val="00683299"/>
    <w:rsid w:val="006833D5"/>
    <w:rsid w:val="006A59CF"/>
    <w:rsid w:val="006A5A87"/>
    <w:rsid w:val="006C2017"/>
    <w:rsid w:val="006C3FDC"/>
    <w:rsid w:val="00747A8B"/>
    <w:rsid w:val="0076015B"/>
    <w:rsid w:val="00763CEC"/>
    <w:rsid w:val="00770231"/>
    <w:rsid w:val="00795F77"/>
    <w:rsid w:val="007A6BE8"/>
    <w:rsid w:val="007C5827"/>
    <w:rsid w:val="007F39F5"/>
    <w:rsid w:val="008229D2"/>
    <w:rsid w:val="0084659F"/>
    <w:rsid w:val="008A70CC"/>
    <w:rsid w:val="008B1D56"/>
    <w:rsid w:val="008B3E40"/>
    <w:rsid w:val="008B7252"/>
    <w:rsid w:val="008C4B70"/>
    <w:rsid w:val="009602FF"/>
    <w:rsid w:val="00981500"/>
    <w:rsid w:val="009843C7"/>
    <w:rsid w:val="009A2ED6"/>
    <w:rsid w:val="009B159B"/>
    <w:rsid w:val="009D1D0E"/>
    <w:rsid w:val="00A112C8"/>
    <w:rsid w:val="00A170A7"/>
    <w:rsid w:val="00A26850"/>
    <w:rsid w:val="00A41116"/>
    <w:rsid w:val="00A519D9"/>
    <w:rsid w:val="00A662BE"/>
    <w:rsid w:val="00A7604B"/>
    <w:rsid w:val="00A766D9"/>
    <w:rsid w:val="00A8301A"/>
    <w:rsid w:val="00A93EB7"/>
    <w:rsid w:val="00AA177E"/>
    <w:rsid w:val="00AD7FE5"/>
    <w:rsid w:val="00AE44F7"/>
    <w:rsid w:val="00B10C7C"/>
    <w:rsid w:val="00B5245D"/>
    <w:rsid w:val="00B954D7"/>
    <w:rsid w:val="00BA0D7C"/>
    <w:rsid w:val="00BE1ABD"/>
    <w:rsid w:val="00BE62A6"/>
    <w:rsid w:val="00C07359"/>
    <w:rsid w:val="00C10466"/>
    <w:rsid w:val="00C11869"/>
    <w:rsid w:val="00C2649F"/>
    <w:rsid w:val="00C351E1"/>
    <w:rsid w:val="00C6577F"/>
    <w:rsid w:val="00C91461"/>
    <w:rsid w:val="00C962BF"/>
    <w:rsid w:val="00CC3C06"/>
    <w:rsid w:val="00D165F9"/>
    <w:rsid w:val="00D4497B"/>
    <w:rsid w:val="00D92E94"/>
    <w:rsid w:val="00DB4534"/>
    <w:rsid w:val="00DF6A30"/>
    <w:rsid w:val="00E16F61"/>
    <w:rsid w:val="00E26250"/>
    <w:rsid w:val="00E40AD5"/>
    <w:rsid w:val="00E66AAF"/>
    <w:rsid w:val="00E81448"/>
    <w:rsid w:val="00E87C32"/>
    <w:rsid w:val="00E91CB6"/>
    <w:rsid w:val="00EA2595"/>
    <w:rsid w:val="00EF3B2B"/>
    <w:rsid w:val="00EF48F0"/>
    <w:rsid w:val="00F16ADF"/>
    <w:rsid w:val="00F1739C"/>
    <w:rsid w:val="00F475A8"/>
    <w:rsid w:val="00F56D4C"/>
    <w:rsid w:val="00F72FA0"/>
    <w:rsid w:val="00F81B2C"/>
    <w:rsid w:val="00F86C61"/>
    <w:rsid w:val="00FC11F0"/>
    <w:rsid w:val="00FE51BD"/>
    <w:rsid w:val="03A41D29"/>
    <w:rsid w:val="05740D3B"/>
    <w:rsid w:val="07673068"/>
    <w:rsid w:val="0823366F"/>
    <w:rsid w:val="0AAD207E"/>
    <w:rsid w:val="0F6F536C"/>
    <w:rsid w:val="13724E6B"/>
    <w:rsid w:val="13DA3B2D"/>
    <w:rsid w:val="15082161"/>
    <w:rsid w:val="1D8C06CF"/>
    <w:rsid w:val="220E54A2"/>
    <w:rsid w:val="22D05D1B"/>
    <w:rsid w:val="24042142"/>
    <w:rsid w:val="275B3823"/>
    <w:rsid w:val="2D407B76"/>
    <w:rsid w:val="352630BF"/>
    <w:rsid w:val="3FD5021E"/>
    <w:rsid w:val="40A75E4E"/>
    <w:rsid w:val="40BD0288"/>
    <w:rsid w:val="45BF150B"/>
    <w:rsid w:val="4D1B7C70"/>
    <w:rsid w:val="532F7387"/>
    <w:rsid w:val="5556068C"/>
    <w:rsid w:val="5B8E60CB"/>
    <w:rsid w:val="5DF54F15"/>
    <w:rsid w:val="60C87748"/>
    <w:rsid w:val="66CD1548"/>
    <w:rsid w:val="6F1A1583"/>
    <w:rsid w:val="72604F3A"/>
    <w:rsid w:val="74CE24BD"/>
    <w:rsid w:val="76BD26F7"/>
    <w:rsid w:val="7B0D3543"/>
    <w:rsid w:val="7B867D3A"/>
    <w:rsid w:val="7C152D7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宋体" w:cs="黑体"/>
      <w:kern w:val="2"/>
      <w:sz w:val="24"/>
      <w:szCs w:val="22"/>
      <w:lang w:val="en-US" w:eastAsia="zh-CN" w:bidi="ar-SA"/>
    </w:rPr>
  </w:style>
  <w:style w:type="paragraph" w:styleId="3">
    <w:name w:val="heading 1"/>
    <w:basedOn w:val="1"/>
    <w:next w:val="1"/>
    <w:qFormat/>
    <w:uiPriority w:val="0"/>
    <w:pPr>
      <w:keepNext/>
      <w:keepLines/>
      <w:widowControl/>
      <w:spacing w:before="340" w:after="330" w:line="576" w:lineRule="auto"/>
      <w:jc w:val="left"/>
      <w:outlineLvl w:val="0"/>
    </w:pPr>
    <w:rPr>
      <w:rFonts w:ascii="Times New Roman" w:hAnsi="Times New Roman" w:cs="Times New Roman"/>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等线 Light" w:eastAsia="等线 Light" w:cs="Times New Roman"/>
      <w:b/>
      <w:bCs/>
      <w:sz w:val="32"/>
      <w:szCs w:val="32"/>
    </w:rPr>
  </w:style>
  <w:style w:type="paragraph" w:styleId="5">
    <w:name w:val="heading 3"/>
    <w:basedOn w:val="1"/>
    <w:next w:val="1"/>
    <w:qFormat/>
    <w:uiPriority w:val="0"/>
    <w:pPr>
      <w:keepNext/>
      <w:keepLines/>
      <w:spacing w:before="200"/>
      <w:outlineLvl w:val="2"/>
    </w:pPr>
    <w:rPr>
      <w:rFonts w:ascii="Cambria" w:hAnsi="Cambria" w:cs="Times New Roman"/>
      <w:b/>
      <w:bCs/>
      <w:color w:val="4F81BD"/>
    </w:rPr>
  </w:style>
  <w:style w:type="paragraph" w:styleId="6">
    <w:name w:val="heading 4"/>
    <w:basedOn w:val="1"/>
    <w:next w:val="1"/>
    <w:qFormat/>
    <w:uiPriority w:val="0"/>
    <w:pPr>
      <w:spacing w:beforeAutospacing="1" w:afterAutospacing="1"/>
      <w:jc w:val="left"/>
      <w:outlineLvl w:val="3"/>
    </w:pPr>
    <w:rPr>
      <w:rFonts w:ascii="宋体" w:cs="Times New Roman"/>
      <w:b/>
      <w:bCs/>
      <w:kern w:val="0"/>
      <w:szCs w:val="24"/>
    </w:rPr>
  </w:style>
  <w:style w:type="paragraph" w:styleId="7">
    <w:name w:val="heading 5"/>
    <w:basedOn w:val="1"/>
    <w:next w:val="1"/>
    <w:qFormat/>
    <w:uiPriority w:val="0"/>
    <w:pPr>
      <w:keepNext/>
      <w:keepLines/>
      <w:spacing w:before="280" w:after="290" w:line="377" w:lineRule="auto"/>
      <w:outlineLvl w:val="4"/>
    </w:pPr>
    <w:rPr>
      <w:rFonts w:eastAsia="黑体"/>
      <w:bCs/>
      <w:sz w:val="30"/>
      <w:szCs w:val="28"/>
    </w:rPr>
  </w:style>
  <w:style w:type="paragraph" w:styleId="8">
    <w:name w:val="heading 6"/>
    <w:basedOn w:val="1"/>
    <w:next w:val="1"/>
    <w:qFormat/>
    <w:uiPriority w:val="0"/>
    <w:pPr>
      <w:spacing w:beforeAutospacing="1" w:afterAutospacing="1"/>
      <w:jc w:val="left"/>
      <w:outlineLvl w:val="5"/>
    </w:pPr>
    <w:rPr>
      <w:rFonts w:ascii="宋体" w:cs="Times New Roman"/>
      <w:b/>
      <w:bCs/>
      <w:kern w:val="0"/>
      <w:sz w:val="15"/>
      <w:szCs w:val="15"/>
    </w:rPr>
  </w:style>
  <w:style w:type="character" w:default="1" w:styleId="32">
    <w:name w:val="Default Paragraph Font"/>
    <w:semiHidden/>
    <w:unhideWhenUsed/>
    <w:uiPriority w:val="1"/>
  </w:style>
  <w:style w:type="table" w:default="1" w:styleId="30">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hAnsi="Times New Roman" w:eastAsia="等线"/>
      <w:sz w:val="21"/>
      <w:szCs w:val="20"/>
    </w:rPr>
  </w:style>
  <w:style w:type="paragraph" w:styleId="9">
    <w:name w:val="Normal Indent"/>
    <w:basedOn w:val="1"/>
    <w:qFormat/>
    <w:uiPriority w:val="0"/>
    <w:pPr>
      <w:widowControl/>
      <w:ind w:firstLine="420"/>
      <w:jc w:val="left"/>
    </w:pPr>
    <w:rPr>
      <w:rFonts w:cs="Times New Roman"/>
      <w:sz w:val="21"/>
    </w:rPr>
  </w:style>
  <w:style w:type="paragraph" w:styleId="10">
    <w:name w:val="annotation text"/>
    <w:basedOn w:val="1"/>
    <w:link w:val="424"/>
    <w:qFormat/>
    <w:uiPriority w:val="0"/>
    <w:pPr>
      <w:jc w:val="left"/>
    </w:pPr>
    <w:rPr>
      <w:rFonts w:ascii="Times New Roman" w:hAnsi="Times New Roman" w:cs="Times New Roman"/>
      <w:sz w:val="21"/>
      <w:szCs w:val="24"/>
    </w:rPr>
  </w:style>
  <w:style w:type="paragraph" w:styleId="11">
    <w:name w:val="Body Text Indent"/>
    <w:basedOn w:val="1"/>
    <w:qFormat/>
    <w:uiPriority w:val="0"/>
    <w:pPr>
      <w:spacing w:after="120"/>
      <w:ind w:left="200" w:leftChars="200"/>
    </w:pPr>
    <w:rPr>
      <w:rFonts w:ascii="Times New Roman" w:hAnsi="Times New Roman" w:cs="Times New Roman"/>
      <w:sz w:val="21"/>
      <w:szCs w:val="20"/>
    </w:rPr>
  </w:style>
  <w:style w:type="paragraph" w:styleId="12">
    <w:name w:val="Plain Text"/>
    <w:basedOn w:val="1"/>
    <w:qFormat/>
    <w:uiPriority w:val="0"/>
    <w:rPr>
      <w:rFonts w:ascii="宋体" w:cs="Times New Roman"/>
      <w:sz w:val="21"/>
      <w:szCs w:val="20"/>
    </w:rPr>
  </w:style>
  <w:style w:type="paragraph" w:styleId="13">
    <w:name w:val="Balloon Text"/>
    <w:basedOn w:val="1"/>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envelope return"/>
    <w:basedOn w:val="1"/>
    <w:qFormat/>
    <w:uiPriority w:val="0"/>
    <w:pPr>
      <w:snapToGrid w:val="0"/>
    </w:pPr>
    <w:rPr>
      <w:rFonts w:ascii="Arial" w:hAnsi="Arial" w:cs="Times New Roman"/>
      <w:sz w:val="21"/>
      <w:szCs w:val="20"/>
    </w:rPr>
  </w:style>
  <w:style w:type="paragraph" w:styleId="16">
    <w:name w:val="header"/>
    <w:basedOn w:val="1"/>
    <w:next w:val="17"/>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customStyle="1" w:styleId="17">
    <w:name w:val="Quote1"/>
    <w:basedOn w:val="1"/>
    <w:next w:val="1"/>
    <w:qFormat/>
    <w:uiPriority w:val="0"/>
    <w:pPr>
      <w:widowControl/>
      <w:wordWrap w:val="0"/>
      <w:spacing w:before="200" w:after="160"/>
      <w:ind w:left="864" w:right="864"/>
      <w:jc w:val="center"/>
    </w:pPr>
    <w:rPr>
      <w:rFonts w:ascii="宋体"/>
      <w:i/>
      <w:color w:val="404040"/>
    </w:rPr>
  </w:style>
  <w:style w:type="paragraph" w:styleId="18">
    <w:name w:val="Signature"/>
    <w:basedOn w:val="1"/>
    <w:qFormat/>
    <w:uiPriority w:val="0"/>
    <w:pPr>
      <w:ind w:left="4320"/>
    </w:pPr>
  </w:style>
  <w:style w:type="paragraph" w:styleId="19">
    <w:name w:val="Subtitle"/>
    <w:basedOn w:val="1"/>
    <w:next w:val="1"/>
    <w:qFormat/>
    <w:uiPriority w:val="0"/>
    <w:pPr>
      <w:snapToGrid w:val="0"/>
      <w:spacing w:beforeLines="100"/>
      <w:jc w:val="left"/>
      <w:outlineLvl w:val="1"/>
    </w:pPr>
    <w:rPr>
      <w:rFonts w:ascii="Calibri Light" w:hAnsi="Calibri Light" w:cs="Times New Roman"/>
      <w:b/>
      <w:bCs/>
      <w:kern w:val="28"/>
      <w:szCs w:val="32"/>
    </w:rPr>
  </w:style>
  <w:style w:type="paragraph" w:styleId="20">
    <w:name w:val="Body Text Indent 3"/>
    <w:basedOn w:val="1"/>
    <w:qFormat/>
    <w:uiPriority w:val="0"/>
    <w:pPr>
      <w:spacing w:line="360" w:lineRule="auto"/>
      <w:ind w:firstLine="200" w:firstLineChars="200"/>
    </w:pPr>
    <w:rPr>
      <w:szCs w:val="20"/>
    </w:rPr>
  </w:style>
  <w:style w:type="paragraph" w:styleId="21">
    <w:name w:val="toc 2"/>
    <w:basedOn w:val="1"/>
    <w:next w:val="1"/>
    <w:qFormat/>
    <w:uiPriority w:val="0"/>
    <w:pPr>
      <w:tabs>
        <w:tab w:val="right" w:leader="dot" w:pos="9180"/>
      </w:tabs>
      <w:spacing w:line="360" w:lineRule="auto"/>
      <w:ind w:left="210"/>
      <w:jc w:val="left"/>
    </w:pPr>
    <w:rPr>
      <w:rFonts w:eastAsia="等线" w:cs="Times New Roman"/>
      <w:smallCaps/>
      <w:sz w:val="21"/>
      <w:szCs w:val="24"/>
    </w:rPr>
  </w:style>
  <w:style w:type="paragraph" w:styleId="22">
    <w:name w:val="Body Text 2"/>
    <w:basedOn w:val="1"/>
    <w:qFormat/>
    <w:uiPriority w:val="0"/>
    <w:pPr>
      <w:spacing w:after="120" w:line="480" w:lineRule="auto"/>
    </w:pPr>
  </w:style>
  <w:style w:type="paragraph" w:styleId="23">
    <w:name w:val="Message Header"/>
    <w:basedOn w:val="1"/>
    <w:next w:val="2"/>
    <w:qFormat/>
    <w:uiPriority w:val="0"/>
    <w:pPr>
      <w:shd w:val="pct20" w:color="auto" w:fill="auto"/>
      <w:kinsoku w:val="0"/>
      <w:overflowPunct w:val="0"/>
    </w:pPr>
    <w:rPr>
      <w:rFonts w:ascii="Arial" w:hAnsi="Arial"/>
      <w:color w:val="000000"/>
      <w:sz w:val="28"/>
      <w:szCs w:val="24"/>
    </w:rPr>
  </w:style>
  <w:style w:type="paragraph" w:styleId="2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kern w:val="0"/>
      <w:sz w:val="20"/>
    </w:rPr>
  </w:style>
  <w:style w:type="paragraph" w:styleId="25">
    <w:name w:val="Normal (Web)"/>
    <w:basedOn w:val="1"/>
    <w:qFormat/>
    <w:uiPriority w:val="0"/>
    <w:pPr>
      <w:widowControl/>
      <w:spacing w:line="360" w:lineRule="auto"/>
      <w:jc w:val="left"/>
    </w:pPr>
    <w:rPr>
      <w:rFonts w:ascii="宋体" w:cs="宋体"/>
      <w:kern w:val="0"/>
      <w:szCs w:val="24"/>
    </w:rPr>
  </w:style>
  <w:style w:type="paragraph" w:styleId="26">
    <w:name w:val="Title"/>
    <w:basedOn w:val="1"/>
    <w:next w:val="1"/>
    <w:qFormat/>
    <w:uiPriority w:val="0"/>
    <w:pPr>
      <w:spacing w:before="240" w:after="60"/>
      <w:jc w:val="center"/>
      <w:outlineLvl w:val="0"/>
    </w:pPr>
    <w:rPr>
      <w:rFonts w:ascii="Arial" w:hAnsi="Arial" w:cs="Arial"/>
      <w:b/>
      <w:bCs/>
      <w:sz w:val="32"/>
      <w:szCs w:val="32"/>
    </w:rPr>
  </w:style>
  <w:style w:type="paragraph" w:styleId="27">
    <w:name w:val="annotation subject"/>
    <w:basedOn w:val="10"/>
    <w:next w:val="10"/>
    <w:qFormat/>
    <w:uiPriority w:val="0"/>
    <w:rPr>
      <w:rFonts w:ascii="等线" w:hAnsi="等线" w:cs="黑体"/>
      <w:b/>
      <w:bCs/>
      <w:sz w:val="24"/>
      <w:szCs w:val="22"/>
    </w:rPr>
  </w:style>
  <w:style w:type="paragraph" w:styleId="28">
    <w:name w:val="Body Text First Indent"/>
    <w:basedOn w:val="2"/>
    <w:qFormat/>
    <w:uiPriority w:val="0"/>
    <w:pPr>
      <w:spacing w:line="360" w:lineRule="auto"/>
      <w:ind w:firstLine="100" w:firstLineChars="100"/>
    </w:pPr>
  </w:style>
  <w:style w:type="paragraph" w:styleId="29">
    <w:name w:val="Body Text First Indent 2"/>
    <w:basedOn w:val="11"/>
    <w:next w:val="28"/>
    <w:qFormat/>
    <w:uiPriority w:val="0"/>
    <w:pPr>
      <w:ind w:firstLine="200" w:firstLineChars="200"/>
    </w:pPr>
    <w:rPr>
      <w:rFonts w:ascii="楷体_GB2312" w:eastAsia="楷体_GB2312"/>
      <w:sz w:val="28"/>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bCs/>
    </w:rPr>
  </w:style>
  <w:style w:type="character" w:styleId="34">
    <w:name w:val="page number"/>
    <w:basedOn w:val="32"/>
    <w:qFormat/>
    <w:uiPriority w:val="0"/>
  </w:style>
  <w:style w:type="character" w:styleId="35">
    <w:name w:val="Emphasis"/>
    <w:basedOn w:val="32"/>
    <w:qFormat/>
    <w:uiPriority w:val="0"/>
    <w:rPr>
      <w:i/>
    </w:rPr>
  </w:style>
  <w:style w:type="character" w:styleId="36">
    <w:name w:val="Hyperlink"/>
    <w:basedOn w:val="32"/>
    <w:qFormat/>
    <w:uiPriority w:val="0"/>
    <w:rPr>
      <w:color w:val="0000FF"/>
      <w:u w:val="single"/>
    </w:rPr>
  </w:style>
  <w:style w:type="character" w:styleId="37">
    <w:name w:val="annotation reference"/>
    <w:basedOn w:val="32"/>
    <w:qFormat/>
    <w:uiPriority w:val="0"/>
    <w:rPr>
      <w:rFonts w:ascii="Tahoma" w:hAnsi="Tahoma"/>
      <w:kern w:val="2"/>
      <w:sz w:val="21"/>
      <w:szCs w:val="21"/>
    </w:rPr>
  </w:style>
  <w:style w:type="paragraph" w:customStyle="1" w:styleId="38">
    <w:name w:val="正文文本缩进_0"/>
    <w:basedOn w:val="39"/>
    <w:qFormat/>
    <w:uiPriority w:val="0"/>
    <w:pPr>
      <w:spacing w:line="600" w:lineRule="exact"/>
      <w:ind w:firstLine="600"/>
    </w:pPr>
  </w:style>
  <w:style w:type="paragraph" w:customStyle="1" w:styleId="39">
    <w:name w:val="正文_1"/>
    <w:next w:val="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正文1"/>
    <w:basedOn w:val="39"/>
    <w:next w:val="41"/>
    <w:qFormat/>
    <w:uiPriority w:val="0"/>
    <w:pPr>
      <w:adjustRightInd w:val="0"/>
      <w:spacing w:line="360" w:lineRule="atLeast"/>
      <w:textAlignment w:val="baseline"/>
    </w:pPr>
    <w:rPr>
      <w:rFonts w:ascii="Times New Roman" w:hAnsi="Times New Roman"/>
    </w:rPr>
  </w:style>
  <w:style w:type="paragraph" w:customStyle="1" w:styleId="41">
    <w:name w:val="普通正文"/>
    <w:basedOn w:val="40"/>
    <w:qFormat/>
    <w:uiPriority w:val="0"/>
    <w:pPr>
      <w:ind w:firstLine="425"/>
    </w:pPr>
    <w:rPr>
      <w:kern w:val="21"/>
    </w:r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Char1 Char"/>
    <w:basedOn w:val="1"/>
    <w:qFormat/>
    <w:uiPriority w:val="0"/>
    <w:pPr>
      <w:numPr>
        <w:ilvl w:val="0"/>
        <w:numId w:val="1"/>
      </w:numPr>
    </w:pPr>
    <w:rPr>
      <w:rFonts w:ascii="Times New Roman" w:hAnsi="Times New Roman" w:cs="Times New Roman"/>
      <w:szCs w:val="24"/>
    </w:rPr>
  </w:style>
  <w:style w:type="paragraph" w:customStyle="1" w:styleId="44">
    <w:name w:val="正文_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 New"/>
    <w:qFormat/>
    <w:uiPriority w:val="0"/>
    <w:pPr>
      <w:widowControl w:val="0"/>
      <w:spacing w:after="200" w:line="276" w:lineRule="auto"/>
      <w:ind w:left="839" w:hanging="357"/>
      <w:jc w:val="both"/>
    </w:pPr>
    <w:rPr>
      <w:rFonts w:ascii="Times New Roman" w:hAnsi="Times New Roman" w:eastAsia="宋体" w:cs="Times New Roman"/>
      <w:sz w:val="22"/>
      <w:szCs w:val="22"/>
      <w:lang w:val="en-US" w:eastAsia="zh-CN" w:bidi="ar-SA"/>
    </w:rPr>
  </w:style>
  <w:style w:type="paragraph" w:customStyle="1" w:styleId="46">
    <w:name w:val="列表段落1"/>
    <w:basedOn w:val="1"/>
    <w:qFormat/>
    <w:uiPriority w:val="0"/>
    <w:pPr>
      <w:ind w:firstLine="200" w:firstLineChars="200"/>
    </w:pPr>
    <w:rPr>
      <w:rFonts w:ascii="Times New Roman" w:hAnsi="Times New Roman" w:cs="Times New Roman"/>
      <w:sz w:val="21"/>
    </w:rPr>
  </w:style>
  <w:style w:type="paragraph" w:customStyle="1" w:styleId="47">
    <w:name w:val="正文_17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表"/>
    <w:basedOn w:val="1"/>
    <w:qFormat/>
    <w:uiPriority w:val="0"/>
    <w:pPr>
      <w:spacing w:line="360" w:lineRule="auto"/>
    </w:pPr>
    <w:rPr>
      <w:rFonts w:ascii="宋体" w:cs="Times New Roman"/>
      <w:b/>
      <w:bCs/>
      <w:sz w:val="21"/>
      <w:szCs w:val="20"/>
    </w:rPr>
  </w:style>
  <w:style w:type="paragraph" w:customStyle="1" w:styleId="49">
    <w:name w:val="p-title"/>
    <w:basedOn w:val="1"/>
    <w:qFormat/>
    <w:uiPriority w:val="0"/>
    <w:pPr>
      <w:widowControl/>
      <w:spacing w:before="100" w:beforeAutospacing="1" w:after="100" w:afterAutospacing="1"/>
      <w:jc w:val="center"/>
    </w:pPr>
    <w:rPr>
      <w:rFonts w:ascii="宋体" w:cs="宋体"/>
      <w:kern w:val="0"/>
      <w:szCs w:val="24"/>
    </w:rPr>
  </w:style>
  <w:style w:type="paragraph" w:customStyle="1" w:styleId="50">
    <w:name w:val="text-indent0"/>
    <w:basedOn w:val="1"/>
    <w:qFormat/>
    <w:uiPriority w:val="0"/>
    <w:pPr>
      <w:widowControl/>
      <w:spacing w:before="100" w:beforeAutospacing="1" w:after="100" w:afterAutospacing="1"/>
      <w:jc w:val="left"/>
    </w:pPr>
    <w:rPr>
      <w:rFonts w:ascii="宋体" w:cs="宋体"/>
      <w:kern w:val="0"/>
      <w:szCs w:val="24"/>
    </w:rPr>
  </w:style>
  <w:style w:type="paragraph" w:customStyle="1" w:styleId="51">
    <w:name w:val="1"/>
    <w:basedOn w:val="1"/>
    <w:next w:val="12"/>
    <w:qFormat/>
    <w:uiPriority w:val="0"/>
    <w:rPr>
      <w:rFonts w:ascii="宋体" w:cs="Times New Roman"/>
      <w:sz w:val="21"/>
      <w:szCs w:val="20"/>
    </w:rPr>
  </w:style>
  <w:style w:type="paragraph" w:customStyle="1" w:styleId="5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Normal_16"/>
    <w:qFormat/>
    <w:uiPriority w:val="0"/>
    <w:rPr>
      <w:rFonts w:ascii="Times New Roman" w:hAnsi="Times New Roman" w:eastAsia="宋体" w:cs="Times New Roman"/>
      <w:sz w:val="21"/>
      <w:lang w:val="en-US" w:eastAsia="zh-CN" w:bidi="ar-SA"/>
    </w:rPr>
  </w:style>
  <w:style w:type="paragraph" w:customStyle="1" w:styleId="58">
    <w:name w:val="彩色列表 - 强调文字颜色 11"/>
    <w:qFormat/>
    <w:uiPriority w:val="0"/>
    <w:pPr>
      <w:ind w:firstLine="200" w:firstLineChars="200"/>
    </w:pPr>
    <w:rPr>
      <w:rFonts w:ascii="Times New Roman" w:hAnsi="Times New Roman" w:eastAsia="宋体" w:cs="Times New Roman"/>
      <w:lang w:val="en-US" w:eastAsia="zh-CN" w:bidi="ar-SA"/>
    </w:rPr>
  </w:style>
  <w:style w:type="character" w:customStyle="1" w:styleId="59">
    <w:name w:val="p141"/>
    <w:qFormat/>
    <w:uiPriority w:val="0"/>
    <w:rPr>
      <w:sz w:val="21"/>
      <w:szCs w:val="21"/>
    </w:rPr>
  </w:style>
  <w:style w:type="character" w:customStyle="1" w:styleId="60">
    <w:name w:val="active1"/>
    <w:basedOn w:val="32"/>
    <w:qFormat/>
    <w:uiPriority w:val="0"/>
    <w:rPr>
      <w:color w:val="C0C4CC"/>
    </w:rPr>
  </w:style>
  <w:style w:type="character" w:customStyle="1" w:styleId="61">
    <w:name w:val="checkbox[data-v-fe0f198c]"/>
    <w:basedOn w:val="32"/>
    <w:qFormat/>
    <w:uiPriority w:val="0"/>
    <w:rPr>
      <w:bdr w:val="single" w:color="DDDDDD" w:sz="6" w:space="0"/>
    </w:rPr>
  </w:style>
  <w:style w:type="character" w:customStyle="1" w:styleId="62">
    <w:name w:val="not([class*=suffix])"/>
    <w:basedOn w:val="32"/>
    <w:qFormat/>
    <w:uiPriority w:val="0"/>
  </w:style>
  <w:style w:type="character" w:customStyle="1" w:styleId="63">
    <w:name w:val="before"/>
    <w:basedOn w:val="32"/>
    <w:qFormat/>
    <w:uiPriority w:val="0"/>
    <w:rPr>
      <w:bdr w:val="single" w:color="FFFFFF" w:sz="6" w:space="0"/>
    </w:rPr>
  </w:style>
  <w:style w:type="character" w:customStyle="1" w:styleId="64">
    <w:name w:val="font31"/>
    <w:qFormat/>
    <w:uiPriority w:val="0"/>
    <w:rPr>
      <w:rFonts w:ascii="宋体" w:eastAsia="宋体" w:cs="宋体"/>
      <w:color w:val="000000"/>
      <w:sz w:val="22"/>
      <w:szCs w:val="22"/>
      <w:u w:val="none"/>
    </w:rPr>
  </w:style>
  <w:style w:type="character" w:customStyle="1" w:styleId="65">
    <w:name w:val="纯文本 字符1"/>
    <w:qFormat/>
    <w:uiPriority w:val="0"/>
    <w:rPr>
      <w:rFonts w:ascii="宋体" w:hAnsi="宋体" w:eastAsia="等线" w:cs="Courier New"/>
      <w:sz w:val="21"/>
      <w:szCs w:val="21"/>
    </w:rPr>
  </w:style>
  <w:style w:type="character" w:customStyle="1" w:styleId="66">
    <w:name w:val="font01"/>
    <w:basedOn w:val="32"/>
    <w:qFormat/>
    <w:uiPriority w:val="0"/>
    <w:rPr>
      <w:rFonts w:ascii="宋体" w:eastAsia="宋体" w:cs="宋体"/>
      <w:color w:val="FF0000"/>
      <w:sz w:val="22"/>
      <w:szCs w:val="22"/>
      <w:u w:val="none"/>
    </w:rPr>
  </w:style>
  <w:style w:type="character" w:customStyle="1" w:styleId="67">
    <w:name w:val="not([class*=suffix])1"/>
    <w:basedOn w:val="32"/>
    <w:qFormat/>
    <w:uiPriority w:val="0"/>
    <w:rPr>
      <w:sz w:val="19"/>
      <w:szCs w:val="19"/>
    </w:rPr>
  </w:style>
  <w:style w:type="character" w:customStyle="1" w:styleId="68">
    <w:name w:val="hover3"/>
    <w:basedOn w:val="32"/>
    <w:qFormat/>
    <w:uiPriority w:val="0"/>
    <w:rPr>
      <w:color w:val="C0C4CC"/>
    </w:rPr>
  </w:style>
  <w:style w:type="paragraph" w:customStyle="1" w:styleId="6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
    <w:name w:val="列出段落1"/>
    <w:basedOn w:val="1"/>
    <w:qFormat/>
    <w:uiPriority w:val="0"/>
    <w:pPr>
      <w:ind w:firstLine="200" w:firstLineChars="200"/>
    </w:pPr>
    <w:rPr>
      <w:rFonts w:eastAsia="Arial" w:cs="Times New Roman"/>
      <w:szCs w:val="20"/>
    </w:rPr>
  </w:style>
  <w:style w:type="paragraph" w:customStyle="1" w:styleId="71">
    <w:name w:val="列出段落_0"/>
    <w:basedOn w:val="1"/>
    <w:qFormat/>
    <w:uiPriority w:val="0"/>
    <w:pPr>
      <w:ind w:firstLine="200" w:firstLineChars="200"/>
    </w:pPr>
    <w:rPr>
      <w:rFonts w:ascii="Calibri" w:hAnsi="Calibri"/>
      <w:sz w:val="21"/>
    </w:rPr>
  </w:style>
  <w:style w:type="character" w:customStyle="1" w:styleId="72">
    <w:name w:val="font51"/>
    <w:basedOn w:val="32"/>
    <w:qFormat/>
    <w:uiPriority w:val="0"/>
    <w:rPr>
      <w:rFonts w:ascii="宋体" w:eastAsia="宋体" w:cs="宋体"/>
      <w:color w:val="000000"/>
      <w:sz w:val="24"/>
      <w:szCs w:val="24"/>
      <w:u w:val="none"/>
      <w:vertAlign w:val="superscript"/>
    </w:rPr>
  </w:style>
  <w:style w:type="paragraph" w:customStyle="1" w:styleId="73">
    <w:name w:val="Char3"/>
    <w:basedOn w:val="1"/>
    <w:qFormat/>
    <w:uiPriority w:val="0"/>
  </w:style>
  <w:style w:type="paragraph" w:customStyle="1" w:styleId="74">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
    <w:name w:val="null3"/>
    <w:qFormat/>
    <w:uiPriority w:val="0"/>
    <w:rPr>
      <w:rFonts w:ascii="Calibri" w:hAnsi="Calibri" w:eastAsia="宋体" w:cs="Arial"/>
      <w:lang w:val="en-US" w:eastAsia="zh-CN" w:bidi="ar-SA"/>
    </w:rPr>
  </w:style>
  <w:style w:type="paragraph" w:customStyle="1" w:styleId="76">
    <w:name w:val="样式 标题 3H3l3CTHeading 3 - oldh3Bold Headbhlevel_3PIM 3L..."/>
    <w:basedOn w:val="5"/>
    <w:qFormat/>
    <w:uiPriority w:val="0"/>
    <w:rPr>
      <w:rFonts w:eastAsia="黑体" w:cs="宋体"/>
      <w:szCs w:val="20"/>
    </w:rPr>
  </w:style>
  <w:style w:type="paragraph" w:customStyle="1" w:styleId="77">
    <w:name w:val="表格文字"/>
    <w:basedOn w:val="1"/>
    <w:qFormat/>
    <w:uiPriority w:val="0"/>
    <w:pPr>
      <w:spacing w:before="25" w:after="25"/>
    </w:pPr>
    <w:rPr>
      <w:bCs/>
      <w:spacing w:val="10"/>
    </w:rPr>
  </w:style>
  <w:style w:type="paragraph" w:customStyle="1" w:styleId="78">
    <w:name w:val="修订1"/>
    <w:qFormat/>
    <w:uiPriority w:val="0"/>
    <w:rPr>
      <w:rFonts w:ascii="等线" w:hAnsi="等线" w:eastAsia="宋体" w:cs="黑体"/>
      <w:kern w:val="2"/>
      <w:sz w:val="24"/>
      <w:szCs w:val="22"/>
      <w:lang w:val="en-US" w:eastAsia="zh-CN" w:bidi="ar-SA"/>
    </w:rPr>
  </w:style>
  <w:style w:type="paragraph" w:customStyle="1" w:styleId="79">
    <w:name w:val="_Style 3"/>
    <w:next w:val="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
    <w:name w:val="列表段落2"/>
    <w:basedOn w:val="1"/>
    <w:qFormat/>
    <w:uiPriority w:val="0"/>
    <w:pPr>
      <w:suppressAutoHyphens/>
      <w:ind w:firstLine="420"/>
    </w:pPr>
    <w:rPr>
      <w:rFonts w:ascii="Calibri" w:hAnsi="Calibri"/>
      <w:lang w:eastAsia="ar-SA"/>
    </w:rPr>
  </w:style>
  <w:style w:type="paragraph" w:customStyle="1" w:styleId="81">
    <w:name w:val="Table Paragraph"/>
    <w:basedOn w:val="1"/>
    <w:qFormat/>
    <w:uiPriority w:val="0"/>
    <w:pPr>
      <w:autoSpaceDE w:val="0"/>
      <w:autoSpaceDN w:val="0"/>
      <w:adjustRightInd w:val="0"/>
      <w:jc w:val="left"/>
    </w:pPr>
    <w:rPr>
      <w:kern w:val="0"/>
    </w:rPr>
  </w:style>
  <w:style w:type="character" w:customStyle="1" w:styleId="82">
    <w:name w:val="p141_0"/>
    <w:qFormat/>
    <w:uiPriority w:val="0"/>
    <w:rPr>
      <w:rFonts w:ascii="Calibri" w:hAnsi="Calibri"/>
      <w:sz w:val="21"/>
      <w:szCs w:val="21"/>
    </w:rPr>
  </w:style>
  <w:style w:type="paragraph" w:customStyle="1" w:styleId="83">
    <w:name w:val="正文文字缩进 2"/>
    <w:basedOn w:val="1"/>
    <w:qFormat/>
    <w:uiPriority w:val="0"/>
    <w:pPr>
      <w:widowControl/>
      <w:spacing w:line="351" w:lineRule="atLeast"/>
      <w:ind w:firstLine="481"/>
    </w:pPr>
    <w:rPr>
      <w:rFonts w:ascii="仿宋_GB2312" w:eastAsia="仿宋_GB2312"/>
      <w:color w:val="000000"/>
      <w:szCs w:val="20"/>
    </w:rPr>
  </w:style>
  <w:style w:type="paragraph" w:customStyle="1" w:styleId="84">
    <w:name w:val="修订2"/>
    <w:qFormat/>
    <w:uiPriority w:val="0"/>
    <w:rPr>
      <w:rFonts w:ascii="等线" w:hAnsi="等线" w:eastAsia="宋体" w:cs="黑体"/>
      <w:kern w:val="2"/>
      <w:sz w:val="24"/>
      <w:szCs w:val="22"/>
      <w:lang w:val="en-US" w:eastAsia="zh-CN" w:bidi="ar-SA"/>
    </w:rPr>
  </w:style>
  <w:style w:type="character" w:customStyle="1" w:styleId="85">
    <w:name w:val="font41"/>
    <w:qFormat/>
    <w:uiPriority w:val="0"/>
    <w:rPr>
      <w:rFonts w:ascii="宋体" w:eastAsia="宋体" w:cs="宋体"/>
      <w:color w:val="000000"/>
      <w:sz w:val="20"/>
      <w:szCs w:val="20"/>
      <w:u w:val="none"/>
      <w:lang w:bidi="ar-SA"/>
    </w:rPr>
  </w:style>
  <w:style w:type="paragraph" w:customStyle="1" w:styleId="86">
    <w:name w:val="WPSOffice手动目录 1"/>
    <w:qFormat/>
    <w:uiPriority w:val="0"/>
    <w:rPr>
      <w:rFonts w:ascii="Calibri" w:hAnsi="Calibri" w:eastAsia="宋体" w:cs="宋体"/>
      <w:szCs w:val="28"/>
      <w:lang w:val="en-US" w:eastAsia="zh-CN" w:bidi="ar-SA"/>
    </w:rPr>
  </w:style>
  <w:style w:type="paragraph" w:customStyle="1" w:styleId="87">
    <w:name w:val="首行缩进"/>
    <w:basedOn w:val="1"/>
    <w:qFormat/>
    <w:uiPriority w:val="0"/>
    <w:pPr>
      <w:ind w:firstLine="200" w:firstLineChars="200"/>
    </w:pPr>
  </w:style>
  <w:style w:type="paragraph" w:customStyle="1" w:styleId="88">
    <w:name w:val="正文_37"/>
    <w:basedOn w:val="1"/>
    <w:qFormat/>
    <w:uiPriority w:val="0"/>
  </w:style>
  <w:style w:type="paragraph" w:customStyle="1" w:styleId="89">
    <w:name w:val="修订3"/>
    <w:qFormat/>
    <w:uiPriority w:val="0"/>
    <w:rPr>
      <w:rFonts w:ascii="等线" w:hAnsi="等线" w:eastAsia="宋体" w:cs="黑体"/>
      <w:kern w:val="2"/>
      <w:sz w:val="24"/>
      <w:szCs w:val="22"/>
      <w:lang w:val="en-US" w:eastAsia="zh-CN" w:bidi="ar-SA"/>
    </w:rPr>
  </w:style>
  <w:style w:type="paragraph" w:customStyle="1" w:styleId="90">
    <w:name w:val="修订4"/>
    <w:qFormat/>
    <w:uiPriority w:val="0"/>
    <w:rPr>
      <w:rFonts w:ascii="等线" w:hAnsi="等线" w:eastAsia="宋体" w:cs="黑体"/>
      <w:kern w:val="2"/>
      <w:sz w:val="24"/>
      <w:szCs w:val="22"/>
      <w:lang w:val="en-US" w:eastAsia="zh-CN" w:bidi="ar-SA"/>
    </w:rPr>
  </w:style>
  <w:style w:type="paragraph" w:customStyle="1" w:styleId="91">
    <w:name w:val="AONormal"/>
    <w:qFormat/>
    <w:uiPriority w:val="0"/>
    <w:pPr>
      <w:autoSpaceDE w:val="0"/>
      <w:autoSpaceDN w:val="0"/>
      <w:adjustRightInd w:val="0"/>
      <w:spacing w:line="400" w:lineRule="exact"/>
      <w:ind w:firstLine="200" w:firstLineChars="200"/>
    </w:pPr>
    <w:rPr>
      <w:rFonts w:ascii="华文楷体" w:hAnsi="Times New Roman" w:eastAsia="华文楷体" w:cs="华文楷体"/>
      <w:sz w:val="22"/>
      <w:szCs w:val="21"/>
      <w:lang w:val="en-US" w:eastAsia="zh-CN" w:bidi="ar-SA"/>
    </w:rPr>
  </w:style>
  <w:style w:type="paragraph" w:customStyle="1" w:styleId="92">
    <w:name w:val="修订5"/>
    <w:qFormat/>
    <w:uiPriority w:val="0"/>
    <w:rPr>
      <w:rFonts w:ascii="等线" w:hAnsi="等线" w:eastAsia="宋体" w:cs="黑体"/>
      <w:kern w:val="2"/>
      <w:sz w:val="24"/>
      <w:szCs w:val="22"/>
      <w:lang w:val="en-US" w:eastAsia="zh-CN" w:bidi="ar-SA"/>
    </w:rPr>
  </w:style>
  <w:style w:type="paragraph" w:customStyle="1" w:styleId="93">
    <w:name w:val="正文_0_1"/>
    <w:next w:val="29"/>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customStyle="1" w:styleId="94">
    <w:name w:val="段"/>
    <w:qFormat/>
    <w:uiPriority w:val="0"/>
    <w:pPr>
      <w:tabs>
        <w:tab w:val="center" w:pos="4201"/>
        <w:tab w:val="right" w:leader="dot" w:pos="9298"/>
      </w:tabs>
      <w:autoSpaceDE w:val="0"/>
      <w:autoSpaceDN w:val="0"/>
      <w:spacing w:after="200" w:line="276" w:lineRule="auto"/>
      <w:ind w:firstLine="200" w:firstLineChars="200"/>
      <w:jc w:val="both"/>
    </w:pPr>
    <w:rPr>
      <w:rFonts w:ascii="宋体" w:hAnsi="Times New Roman" w:eastAsia="宋体" w:cs="Times New Roman"/>
      <w:sz w:val="21"/>
      <w:lang w:val="en-US" w:eastAsia="zh-CN" w:bidi="ar-SA"/>
    </w:rPr>
  </w:style>
  <w:style w:type="character" w:customStyle="1" w:styleId="95">
    <w:name w:val="p141_1"/>
    <w:qFormat/>
    <w:uiPriority w:val="0"/>
    <w:rPr>
      <w:rFonts w:ascii="Calibri" w:hAnsi="Calibri" w:cs="Calibri"/>
      <w:sz w:val="21"/>
      <w:szCs w:val="21"/>
      <w:lang w:val="en-US" w:eastAsia="zh-CN" w:bidi="ar-SA"/>
    </w:rPr>
  </w:style>
  <w:style w:type="paragraph" w:customStyle="1" w:styleId="96">
    <w:name w:val="正文_1_0"/>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customStyle="1" w:styleId="97">
    <w:name w:val="修订6"/>
    <w:qFormat/>
    <w:uiPriority w:val="0"/>
    <w:rPr>
      <w:rFonts w:ascii="等线" w:hAnsi="等线" w:eastAsia="宋体" w:cs="黑体"/>
      <w:kern w:val="2"/>
      <w:sz w:val="24"/>
      <w:szCs w:val="22"/>
      <w:lang w:val="en-US" w:eastAsia="zh-CN" w:bidi="ar-SA"/>
    </w:rPr>
  </w:style>
  <w:style w:type="paragraph" w:customStyle="1" w:styleId="98">
    <w:name w:val="修订7"/>
    <w:qFormat/>
    <w:uiPriority w:val="0"/>
    <w:rPr>
      <w:rFonts w:ascii="等线" w:hAnsi="等线" w:eastAsia="宋体" w:cs="黑体"/>
      <w:kern w:val="2"/>
      <w:sz w:val="24"/>
      <w:szCs w:val="22"/>
      <w:lang w:val="en-US" w:eastAsia="zh-CN" w:bidi="ar-SA"/>
    </w:rPr>
  </w:style>
  <w:style w:type="paragraph" w:customStyle="1" w:styleId="99">
    <w:name w:val="样式 51 10 磅"/>
    <w:qFormat/>
    <w:uiPriority w:val="0"/>
    <w:pPr>
      <w:widowControl w:val="0"/>
      <w:jc w:val="both"/>
    </w:pPr>
    <w:rPr>
      <w:rFonts w:ascii="Calibri" w:hAnsi="Calibri" w:eastAsia="宋体" w:cs="Arial"/>
      <w:kern w:val="2"/>
      <w:sz w:val="21"/>
      <w:szCs w:val="24"/>
      <w:lang w:val="en-US" w:eastAsia="zh-CN" w:bidi="ar-SA"/>
    </w:rPr>
  </w:style>
  <w:style w:type="paragraph" w:customStyle="1" w:styleId="100">
    <w:name w:val="样式 52 10 磅"/>
    <w:qFormat/>
    <w:uiPriority w:val="0"/>
    <w:pPr>
      <w:widowControl w:val="0"/>
      <w:jc w:val="both"/>
    </w:pPr>
    <w:rPr>
      <w:rFonts w:ascii="Calibri" w:hAnsi="Calibri" w:eastAsia="宋体" w:cs="Arial"/>
      <w:kern w:val="2"/>
      <w:sz w:val="21"/>
      <w:szCs w:val="24"/>
      <w:lang w:val="en-US" w:eastAsia="zh-CN" w:bidi="ar-SA"/>
    </w:rPr>
  </w:style>
  <w:style w:type="paragraph" w:customStyle="1" w:styleId="101">
    <w:name w:val="样式 10 磅"/>
    <w:basedOn w:val="1"/>
    <w:qFormat/>
    <w:uiPriority w:val="0"/>
    <w:pPr>
      <w:adjustRightInd w:val="0"/>
      <w:spacing w:line="360" w:lineRule="atLeast"/>
      <w:jc w:val="left"/>
      <w:textAlignment w:val="baseline"/>
    </w:pPr>
    <w:rPr>
      <w:rFonts w:ascii="Times New Roman" w:hAnsi="Times New Roman" w:cs="Times New Roman"/>
      <w:sz w:val="20"/>
      <w:szCs w:val="24"/>
    </w:rPr>
  </w:style>
  <w:style w:type="paragraph" w:customStyle="1" w:styleId="102">
    <w:name w:val="样式 小四"/>
    <w:qFormat/>
    <w:uiPriority w:val="0"/>
    <w:pPr>
      <w:widowControl w:val="0"/>
    </w:pPr>
    <w:rPr>
      <w:rFonts w:ascii="宋体" w:hAnsi="Times New Roman" w:eastAsia="宋体" w:cs="Times New Roman"/>
      <w:kern w:val="2"/>
      <w:sz w:val="24"/>
      <w:szCs w:val="21"/>
      <w:lang w:val="en-US" w:eastAsia="zh-CN" w:bidi="ar-SA"/>
    </w:rPr>
  </w:style>
  <w:style w:type="paragraph" w:customStyle="1" w:styleId="103">
    <w:name w:val="样式 65 10 磅"/>
    <w:qFormat/>
    <w:uiPriority w:val="0"/>
    <w:pPr>
      <w:widowControl w:val="0"/>
      <w:jc w:val="both"/>
    </w:pPr>
    <w:rPr>
      <w:rFonts w:ascii="Calibri" w:hAnsi="Calibri" w:eastAsia="宋体" w:cs="Arial"/>
      <w:kern w:val="2"/>
      <w:sz w:val="21"/>
      <w:szCs w:val="24"/>
      <w:lang w:val="en-US" w:eastAsia="zh-CN" w:bidi="ar-SA"/>
    </w:rPr>
  </w:style>
  <w:style w:type="paragraph" w:customStyle="1" w:styleId="104">
    <w:name w:val="样式 59 10 磅"/>
    <w:qFormat/>
    <w:uiPriority w:val="0"/>
    <w:pPr>
      <w:widowControl w:val="0"/>
      <w:jc w:val="both"/>
    </w:pPr>
    <w:rPr>
      <w:rFonts w:ascii="Calibri" w:hAnsi="Calibri" w:eastAsia="宋体" w:cs="Arial"/>
      <w:kern w:val="2"/>
      <w:sz w:val="21"/>
      <w:szCs w:val="24"/>
      <w:lang w:val="en-US" w:eastAsia="zh-CN" w:bidi="ar-SA"/>
    </w:rPr>
  </w:style>
  <w:style w:type="paragraph" w:customStyle="1" w:styleId="105">
    <w:name w:val="样式 13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106">
    <w:name w:val="样式 14 10 磅"/>
    <w:basedOn w:val="1"/>
    <w:qFormat/>
    <w:uiPriority w:val="0"/>
    <w:rPr>
      <w:sz w:val="21"/>
      <w:szCs w:val="21"/>
    </w:rPr>
  </w:style>
  <w:style w:type="paragraph" w:customStyle="1" w:styleId="107">
    <w:name w:val="样式 205 10 磅"/>
    <w:qFormat/>
    <w:uiPriority w:val="0"/>
    <w:pPr>
      <w:widowControl w:val="0"/>
      <w:jc w:val="both"/>
    </w:pPr>
    <w:rPr>
      <w:rFonts w:ascii="Calibri" w:hAnsi="Calibri" w:eastAsia="宋体" w:cs="Arial"/>
      <w:kern w:val="2"/>
      <w:sz w:val="21"/>
      <w:szCs w:val="24"/>
      <w:lang w:val="en-US" w:eastAsia="zh-CN" w:bidi="ar-SA"/>
    </w:rPr>
  </w:style>
  <w:style w:type="paragraph" w:customStyle="1" w:styleId="108">
    <w:name w:val="样式 204 10 磅"/>
    <w:qFormat/>
    <w:uiPriority w:val="0"/>
    <w:pPr>
      <w:widowControl w:val="0"/>
      <w:jc w:val="both"/>
    </w:pPr>
    <w:rPr>
      <w:rFonts w:ascii="Calibri" w:hAnsi="Calibri" w:eastAsia="宋体" w:cs="Arial"/>
      <w:kern w:val="2"/>
      <w:sz w:val="21"/>
      <w:szCs w:val="24"/>
      <w:lang w:val="en-US" w:eastAsia="zh-CN" w:bidi="ar-SA"/>
    </w:rPr>
  </w:style>
  <w:style w:type="paragraph" w:customStyle="1" w:styleId="109">
    <w:name w:val="样式 201 10 磅"/>
    <w:qFormat/>
    <w:uiPriority w:val="0"/>
    <w:pPr>
      <w:widowControl w:val="0"/>
      <w:jc w:val="both"/>
    </w:pPr>
    <w:rPr>
      <w:rFonts w:ascii="Calibri" w:hAnsi="Calibri" w:eastAsia="宋体" w:cs="Arial"/>
      <w:kern w:val="2"/>
      <w:sz w:val="21"/>
      <w:szCs w:val="24"/>
      <w:lang w:val="en-US" w:eastAsia="zh-CN" w:bidi="ar-SA"/>
    </w:rPr>
  </w:style>
  <w:style w:type="paragraph" w:customStyle="1" w:styleId="110">
    <w:name w:val="样式 200 10 磅"/>
    <w:qFormat/>
    <w:uiPriority w:val="0"/>
    <w:pPr>
      <w:widowControl w:val="0"/>
      <w:jc w:val="both"/>
    </w:pPr>
    <w:rPr>
      <w:rFonts w:ascii="Calibri" w:hAnsi="Calibri" w:eastAsia="宋体" w:cs="Arial"/>
      <w:kern w:val="2"/>
      <w:sz w:val="21"/>
      <w:szCs w:val="24"/>
      <w:lang w:val="en-US" w:eastAsia="zh-CN" w:bidi="ar-SA"/>
    </w:rPr>
  </w:style>
  <w:style w:type="paragraph" w:customStyle="1" w:styleId="111">
    <w:name w:val="样式 199 10 磅"/>
    <w:qFormat/>
    <w:uiPriority w:val="0"/>
    <w:pPr>
      <w:widowControl w:val="0"/>
      <w:jc w:val="both"/>
    </w:pPr>
    <w:rPr>
      <w:rFonts w:ascii="Calibri" w:hAnsi="Calibri" w:eastAsia="宋体" w:cs="Arial"/>
      <w:kern w:val="2"/>
      <w:sz w:val="21"/>
      <w:szCs w:val="24"/>
      <w:lang w:val="en-US" w:eastAsia="zh-CN" w:bidi="ar-SA"/>
    </w:rPr>
  </w:style>
  <w:style w:type="paragraph" w:customStyle="1" w:styleId="112">
    <w:name w:val="样式 198 10 磅"/>
    <w:qFormat/>
    <w:uiPriority w:val="0"/>
    <w:pPr>
      <w:widowControl w:val="0"/>
      <w:jc w:val="both"/>
    </w:pPr>
    <w:rPr>
      <w:rFonts w:ascii="Calibri" w:hAnsi="Calibri" w:eastAsia="宋体" w:cs="Arial"/>
      <w:kern w:val="2"/>
      <w:sz w:val="21"/>
      <w:szCs w:val="24"/>
      <w:lang w:val="en-US" w:eastAsia="zh-CN" w:bidi="ar-SA"/>
    </w:rPr>
  </w:style>
  <w:style w:type="paragraph" w:customStyle="1" w:styleId="113">
    <w:name w:val="样式 197 10 磅"/>
    <w:qFormat/>
    <w:uiPriority w:val="0"/>
    <w:pPr>
      <w:widowControl w:val="0"/>
      <w:jc w:val="both"/>
    </w:pPr>
    <w:rPr>
      <w:rFonts w:ascii="Calibri" w:hAnsi="Calibri" w:eastAsia="宋体" w:cs="Arial"/>
      <w:kern w:val="2"/>
      <w:sz w:val="21"/>
      <w:szCs w:val="24"/>
      <w:lang w:val="en-US" w:eastAsia="zh-CN" w:bidi="ar-SA"/>
    </w:rPr>
  </w:style>
  <w:style w:type="paragraph" w:customStyle="1" w:styleId="114">
    <w:name w:val="样式 196 10 磅"/>
    <w:qFormat/>
    <w:uiPriority w:val="0"/>
    <w:pPr>
      <w:widowControl w:val="0"/>
      <w:jc w:val="both"/>
    </w:pPr>
    <w:rPr>
      <w:rFonts w:ascii="Calibri" w:hAnsi="Calibri" w:eastAsia="宋体" w:cs="Arial"/>
      <w:kern w:val="2"/>
      <w:sz w:val="21"/>
      <w:szCs w:val="24"/>
      <w:lang w:val="en-US" w:eastAsia="zh-CN" w:bidi="ar-SA"/>
    </w:rPr>
  </w:style>
  <w:style w:type="paragraph" w:customStyle="1" w:styleId="115">
    <w:name w:val="样式 195 10 磅"/>
    <w:qFormat/>
    <w:uiPriority w:val="0"/>
    <w:pPr>
      <w:widowControl w:val="0"/>
      <w:jc w:val="both"/>
    </w:pPr>
    <w:rPr>
      <w:rFonts w:ascii="Calibri" w:hAnsi="Calibri" w:eastAsia="宋体" w:cs="Arial"/>
      <w:kern w:val="2"/>
      <w:sz w:val="21"/>
      <w:szCs w:val="24"/>
      <w:lang w:val="en-US" w:eastAsia="zh-CN" w:bidi="ar-SA"/>
    </w:rPr>
  </w:style>
  <w:style w:type="paragraph" w:customStyle="1" w:styleId="116">
    <w:name w:val="样式 194 10 磅"/>
    <w:qFormat/>
    <w:uiPriority w:val="0"/>
    <w:pPr>
      <w:widowControl w:val="0"/>
      <w:jc w:val="both"/>
    </w:pPr>
    <w:rPr>
      <w:rFonts w:ascii="Calibri" w:hAnsi="Calibri" w:eastAsia="宋体" w:cs="Arial"/>
      <w:kern w:val="2"/>
      <w:sz w:val="21"/>
      <w:szCs w:val="24"/>
      <w:lang w:val="en-US" w:eastAsia="zh-CN" w:bidi="ar-SA"/>
    </w:rPr>
  </w:style>
  <w:style w:type="paragraph" w:customStyle="1" w:styleId="117">
    <w:name w:val="样式 193 10 磅"/>
    <w:qFormat/>
    <w:uiPriority w:val="0"/>
    <w:pPr>
      <w:widowControl w:val="0"/>
      <w:jc w:val="both"/>
    </w:pPr>
    <w:rPr>
      <w:rFonts w:ascii="Calibri" w:hAnsi="Calibri" w:eastAsia="宋体" w:cs="Arial"/>
      <w:kern w:val="2"/>
      <w:sz w:val="21"/>
      <w:szCs w:val="24"/>
      <w:lang w:val="en-US" w:eastAsia="zh-CN" w:bidi="ar-SA"/>
    </w:rPr>
  </w:style>
  <w:style w:type="paragraph" w:customStyle="1" w:styleId="118">
    <w:name w:val="样式 192 10 磅"/>
    <w:qFormat/>
    <w:uiPriority w:val="0"/>
    <w:pPr>
      <w:widowControl w:val="0"/>
      <w:jc w:val="both"/>
    </w:pPr>
    <w:rPr>
      <w:rFonts w:ascii="Calibri" w:hAnsi="Calibri" w:eastAsia="宋体" w:cs="Arial"/>
      <w:kern w:val="2"/>
      <w:sz w:val="21"/>
      <w:szCs w:val="24"/>
      <w:lang w:val="en-US" w:eastAsia="zh-CN" w:bidi="ar-SA"/>
    </w:rPr>
  </w:style>
  <w:style w:type="paragraph" w:customStyle="1" w:styleId="119">
    <w:name w:val="样式 191 10 磅"/>
    <w:qFormat/>
    <w:uiPriority w:val="0"/>
    <w:pPr>
      <w:widowControl w:val="0"/>
      <w:jc w:val="both"/>
    </w:pPr>
    <w:rPr>
      <w:rFonts w:ascii="Calibri" w:hAnsi="Calibri" w:eastAsia="宋体" w:cs="Arial"/>
      <w:kern w:val="2"/>
      <w:sz w:val="21"/>
      <w:szCs w:val="24"/>
      <w:lang w:val="en-US" w:eastAsia="zh-CN" w:bidi="ar-SA"/>
    </w:rPr>
  </w:style>
  <w:style w:type="paragraph" w:customStyle="1" w:styleId="120">
    <w:name w:val="样式 190 10 磅"/>
    <w:qFormat/>
    <w:uiPriority w:val="0"/>
    <w:pPr>
      <w:widowControl w:val="0"/>
      <w:jc w:val="both"/>
    </w:pPr>
    <w:rPr>
      <w:rFonts w:ascii="Calibri" w:hAnsi="Calibri" w:eastAsia="宋体" w:cs="Arial"/>
      <w:kern w:val="2"/>
      <w:sz w:val="21"/>
      <w:szCs w:val="24"/>
      <w:lang w:val="en-US" w:eastAsia="zh-CN" w:bidi="ar-SA"/>
    </w:rPr>
  </w:style>
  <w:style w:type="paragraph" w:customStyle="1" w:styleId="121">
    <w:name w:val="样式 189 10 磅"/>
    <w:qFormat/>
    <w:uiPriority w:val="0"/>
    <w:pPr>
      <w:widowControl w:val="0"/>
      <w:jc w:val="both"/>
    </w:pPr>
    <w:rPr>
      <w:rFonts w:ascii="Calibri" w:hAnsi="Calibri" w:eastAsia="宋体" w:cs="Arial"/>
      <w:kern w:val="2"/>
      <w:sz w:val="21"/>
      <w:szCs w:val="24"/>
      <w:lang w:val="en-US" w:eastAsia="zh-CN" w:bidi="ar-SA"/>
    </w:rPr>
  </w:style>
  <w:style w:type="paragraph" w:customStyle="1" w:styleId="122">
    <w:name w:val="样式 188 10 磅"/>
    <w:qFormat/>
    <w:uiPriority w:val="0"/>
    <w:pPr>
      <w:widowControl w:val="0"/>
      <w:jc w:val="both"/>
    </w:pPr>
    <w:rPr>
      <w:rFonts w:ascii="Calibri" w:hAnsi="Calibri" w:eastAsia="宋体" w:cs="Arial"/>
      <w:kern w:val="2"/>
      <w:sz w:val="21"/>
      <w:szCs w:val="24"/>
      <w:lang w:val="en-US" w:eastAsia="zh-CN" w:bidi="ar-SA"/>
    </w:rPr>
  </w:style>
  <w:style w:type="paragraph" w:customStyle="1" w:styleId="123">
    <w:name w:val="样式 187 10 磅"/>
    <w:qFormat/>
    <w:uiPriority w:val="0"/>
    <w:pPr>
      <w:widowControl w:val="0"/>
      <w:jc w:val="both"/>
    </w:pPr>
    <w:rPr>
      <w:rFonts w:ascii="Calibri" w:hAnsi="Calibri" w:eastAsia="宋体" w:cs="Arial"/>
      <w:kern w:val="2"/>
      <w:sz w:val="21"/>
      <w:szCs w:val="24"/>
      <w:lang w:val="en-US" w:eastAsia="zh-CN" w:bidi="ar-SA"/>
    </w:rPr>
  </w:style>
  <w:style w:type="paragraph" w:customStyle="1" w:styleId="124">
    <w:name w:val="样式 186 10 磅"/>
    <w:qFormat/>
    <w:uiPriority w:val="0"/>
    <w:pPr>
      <w:widowControl w:val="0"/>
      <w:jc w:val="both"/>
    </w:pPr>
    <w:rPr>
      <w:rFonts w:ascii="Calibri" w:hAnsi="Calibri" w:eastAsia="宋体" w:cs="Arial"/>
      <w:kern w:val="2"/>
      <w:sz w:val="21"/>
      <w:szCs w:val="24"/>
      <w:lang w:val="en-US" w:eastAsia="zh-CN" w:bidi="ar-SA"/>
    </w:rPr>
  </w:style>
  <w:style w:type="paragraph" w:customStyle="1" w:styleId="125">
    <w:name w:val="样式 185 10 磅"/>
    <w:qFormat/>
    <w:uiPriority w:val="0"/>
    <w:pPr>
      <w:widowControl w:val="0"/>
      <w:jc w:val="both"/>
    </w:pPr>
    <w:rPr>
      <w:rFonts w:ascii="Calibri" w:hAnsi="Calibri" w:eastAsia="宋体" w:cs="Arial"/>
      <w:kern w:val="2"/>
      <w:sz w:val="21"/>
      <w:szCs w:val="24"/>
      <w:lang w:val="en-US" w:eastAsia="zh-CN" w:bidi="ar-SA"/>
    </w:rPr>
  </w:style>
  <w:style w:type="paragraph" w:customStyle="1" w:styleId="126">
    <w:name w:val="样式 184 10 磅"/>
    <w:qFormat/>
    <w:uiPriority w:val="0"/>
    <w:pPr>
      <w:widowControl w:val="0"/>
      <w:jc w:val="both"/>
    </w:pPr>
    <w:rPr>
      <w:rFonts w:ascii="Calibri" w:hAnsi="Calibri" w:eastAsia="宋体" w:cs="Arial"/>
      <w:kern w:val="2"/>
      <w:sz w:val="21"/>
      <w:szCs w:val="24"/>
      <w:lang w:val="en-US" w:eastAsia="zh-CN" w:bidi="ar-SA"/>
    </w:rPr>
  </w:style>
  <w:style w:type="paragraph" w:customStyle="1" w:styleId="127">
    <w:name w:val="样式 183 10 磅"/>
    <w:qFormat/>
    <w:uiPriority w:val="0"/>
    <w:pPr>
      <w:widowControl w:val="0"/>
      <w:jc w:val="both"/>
    </w:pPr>
    <w:rPr>
      <w:rFonts w:ascii="Calibri" w:hAnsi="Calibri" w:eastAsia="宋体" w:cs="Arial"/>
      <w:kern w:val="2"/>
      <w:sz w:val="21"/>
      <w:szCs w:val="24"/>
      <w:lang w:val="en-US" w:eastAsia="zh-CN" w:bidi="ar-SA"/>
    </w:rPr>
  </w:style>
  <w:style w:type="paragraph" w:customStyle="1" w:styleId="128">
    <w:name w:val="样式 182 10 磅"/>
    <w:qFormat/>
    <w:uiPriority w:val="0"/>
    <w:pPr>
      <w:widowControl w:val="0"/>
      <w:jc w:val="both"/>
    </w:pPr>
    <w:rPr>
      <w:rFonts w:ascii="Calibri" w:hAnsi="Calibri" w:eastAsia="宋体" w:cs="Arial"/>
      <w:kern w:val="2"/>
      <w:sz w:val="21"/>
      <w:szCs w:val="24"/>
      <w:lang w:val="en-US" w:eastAsia="zh-CN" w:bidi="ar-SA"/>
    </w:rPr>
  </w:style>
  <w:style w:type="paragraph" w:customStyle="1" w:styleId="129">
    <w:name w:val="样式 181 10 磅"/>
    <w:qFormat/>
    <w:uiPriority w:val="0"/>
    <w:pPr>
      <w:widowControl w:val="0"/>
      <w:jc w:val="both"/>
    </w:pPr>
    <w:rPr>
      <w:rFonts w:ascii="Calibri" w:hAnsi="Calibri" w:eastAsia="宋体" w:cs="Arial"/>
      <w:kern w:val="2"/>
      <w:sz w:val="21"/>
      <w:szCs w:val="24"/>
      <w:lang w:val="en-US" w:eastAsia="zh-CN" w:bidi="ar-SA"/>
    </w:rPr>
  </w:style>
  <w:style w:type="paragraph" w:customStyle="1" w:styleId="130">
    <w:name w:val="样式 180 10 磅"/>
    <w:qFormat/>
    <w:uiPriority w:val="0"/>
    <w:pPr>
      <w:widowControl w:val="0"/>
      <w:jc w:val="both"/>
    </w:pPr>
    <w:rPr>
      <w:rFonts w:ascii="Calibri" w:hAnsi="Calibri" w:eastAsia="宋体" w:cs="Arial"/>
      <w:kern w:val="2"/>
      <w:sz w:val="21"/>
      <w:szCs w:val="24"/>
      <w:lang w:val="en-US" w:eastAsia="zh-CN" w:bidi="ar-SA"/>
    </w:rPr>
  </w:style>
  <w:style w:type="paragraph" w:customStyle="1" w:styleId="131">
    <w:name w:val="样式 179 10 磅"/>
    <w:qFormat/>
    <w:uiPriority w:val="0"/>
    <w:pPr>
      <w:widowControl w:val="0"/>
      <w:jc w:val="both"/>
    </w:pPr>
    <w:rPr>
      <w:rFonts w:ascii="Calibri" w:hAnsi="Calibri" w:eastAsia="宋体" w:cs="Arial"/>
      <w:kern w:val="2"/>
      <w:sz w:val="21"/>
      <w:szCs w:val="24"/>
      <w:lang w:val="en-US" w:eastAsia="zh-CN" w:bidi="ar-SA"/>
    </w:rPr>
  </w:style>
  <w:style w:type="paragraph" w:customStyle="1" w:styleId="132">
    <w:name w:val="样式 178 10 磅"/>
    <w:qFormat/>
    <w:uiPriority w:val="0"/>
    <w:pPr>
      <w:widowControl w:val="0"/>
      <w:jc w:val="both"/>
    </w:pPr>
    <w:rPr>
      <w:rFonts w:ascii="Calibri" w:hAnsi="Calibri" w:eastAsia="宋体" w:cs="Arial"/>
      <w:kern w:val="2"/>
      <w:sz w:val="21"/>
      <w:szCs w:val="24"/>
      <w:lang w:val="en-US" w:eastAsia="zh-CN" w:bidi="ar-SA"/>
    </w:rPr>
  </w:style>
  <w:style w:type="paragraph" w:customStyle="1" w:styleId="133">
    <w:name w:val="样式 177 10 磅"/>
    <w:qFormat/>
    <w:uiPriority w:val="0"/>
    <w:pPr>
      <w:widowControl w:val="0"/>
      <w:jc w:val="both"/>
    </w:pPr>
    <w:rPr>
      <w:rFonts w:ascii="Calibri" w:hAnsi="Calibri" w:eastAsia="宋体" w:cs="Arial"/>
      <w:kern w:val="2"/>
      <w:sz w:val="21"/>
      <w:szCs w:val="24"/>
      <w:lang w:val="en-US" w:eastAsia="zh-CN" w:bidi="ar-SA"/>
    </w:rPr>
  </w:style>
  <w:style w:type="paragraph" w:customStyle="1" w:styleId="134">
    <w:name w:val="样式 176 10 磅"/>
    <w:qFormat/>
    <w:uiPriority w:val="0"/>
    <w:pPr>
      <w:widowControl w:val="0"/>
      <w:jc w:val="both"/>
    </w:pPr>
    <w:rPr>
      <w:rFonts w:ascii="Calibri" w:hAnsi="Calibri" w:eastAsia="宋体" w:cs="Arial"/>
      <w:kern w:val="2"/>
      <w:sz w:val="21"/>
      <w:szCs w:val="24"/>
      <w:lang w:val="en-US" w:eastAsia="zh-CN" w:bidi="ar-SA"/>
    </w:rPr>
  </w:style>
  <w:style w:type="paragraph" w:customStyle="1" w:styleId="135">
    <w:name w:val="样式 175 10 磅"/>
    <w:qFormat/>
    <w:uiPriority w:val="0"/>
    <w:pPr>
      <w:widowControl w:val="0"/>
      <w:jc w:val="both"/>
    </w:pPr>
    <w:rPr>
      <w:rFonts w:ascii="Calibri" w:hAnsi="Calibri" w:eastAsia="宋体" w:cs="Arial"/>
      <w:kern w:val="2"/>
      <w:sz w:val="21"/>
      <w:szCs w:val="24"/>
      <w:lang w:val="en-US" w:eastAsia="zh-CN" w:bidi="ar-SA"/>
    </w:rPr>
  </w:style>
  <w:style w:type="paragraph" w:customStyle="1" w:styleId="136">
    <w:name w:val="样式 174 10 磅"/>
    <w:qFormat/>
    <w:uiPriority w:val="0"/>
    <w:pPr>
      <w:widowControl w:val="0"/>
      <w:jc w:val="both"/>
    </w:pPr>
    <w:rPr>
      <w:rFonts w:ascii="Calibri" w:hAnsi="Calibri" w:eastAsia="宋体" w:cs="Arial"/>
      <w:kern w:val="2"/>
      <w:sz w:val="21"/>
      <w:szCs w:val="24"/>
      <w:lang w:val="en-US" w:eastAsia="zh-CN" w:bidi="ar-SA"/>
    </w:rPr>
  </w:style>
  <w:style w:type="paragraph" w:customStyle="1" w:styleId="137">
    <w:name w:val="样式 173 10 磅"/>
    <w:qFormat/>
    <w:uiPriority w:val="0"/>
    <w:pPr>
      <w:widowControl w:val="0"/>
      <w:jc w:val="both"/>
    </w:pPr>
    <w:rPr>
      <w:rFonts w:ascii="Calibri" w:hAnsi="Calibri" w:eastAsia="宋体" w:cs="Arial"/>
      <w:kern w:val="2"/>
      <w:sz w:val="21"/>
      <w:szCs w:val="24"/>
      <w:lang w:val="en-US" w:eastAsia="zh-CN" w:bidi="ar-SA"/>
    </w:rPr>
  </w:style>
  <w:style w:type="paragraph" w:customStyle="1" w:styleId="138">
    <w:name w:val="样式 172 10 磅"/>
    <w:qFormat/>
    <w:uiPriority w:val="0"/>
    <w:pPr>
      <w:widowControl w:val="0"/>
      <w:jc w:val="both"/>
    </w:pPr>
    <w:rPr>
      <w:rFonts w:ascii="Calibri" w:hAnsi="Calibri" w:eastAsia="宋体" w:cs="Arial"/>
      <w:kern w:val="2"/>
      <w:sz w:val="21"/>
      <w:szCs w:val="24"/>
      <w:lang w:val="en-US" w:eastAsia="zh-CN" w:bidi="ar-SA"/>
    </w:rPr>
  </w:style>
  <w:style w:type="paragraph" w:customStyle="1" w:styleId="139">
    <w:name w:val="样式 171 10 磅"/>
    <w:qFormat/>
    <w:uiPriority w:val="0"/>
    <w:pPr>
      <w:widowControl w:val="0"/>
      <w:jc w:val="both"/>
    </w:pPr>
    <w:rPr>
      <w:rFonts w:ascii="Calibri" w:hAnsi="Calibri" w:eastAsia="宋体" w:cs="Arial"/>
      <w:kern w:val="2"/>
      <w:sz w:val="21"/>
      <w:szCs w:val="24"/>
      <w:lang w:val="en-US" w:eastAsia="zh-CN" w:bidi="ar-SA"/>
    </w:rPr>
  </w:style>
  <w:style w:type="paragraph" w:customStyle="1" w:styleId="140">
    <w:name w:val="样式 170 10 磅"/>
    <w:qFormat/>
    <w:uiPriority w:val="0"/>
    <w:pPr>
      <w:widowControl w:val="0"/>
      <w:jc w:val="both"/>
    </w:pPr>
    <w:rPr>
      <w:rFonts w:ascii="Calibri" w:hAnsi="Calibri" w:eastAsia="宋体" w:cs="Arial"/>
      <w:kern w:val="2"/>
      <w:sz w:val="21"/>
      <w:szCs w:val="24"/>
      <w:lang w:val="en-US" w:eastAsia="zh-CN" w:bidi="ar-SA"/>
    </w:rPr>
  </w:style>
  <w:style w:type="paragraph" w:customStyle="1" w:styleId="141">
    <w:name w:val="样式 169 10 磅"/>
    <w:qFormat/>
    <w:uiPriority w:val="0"/>
    <w:pPr>
      <w:widowControl w:val="0"/>
      <w:jc w:val="both"/>
    </w:pPr>
    <w:rPr>
      <w:rFonts w:ascii="Calibri" w:hAnsi="Calibri" w:eastAsia="宋体" w:cs="Arial"/>
      <w:kern w:val="2"/>
      <w:sz w:val="21"/>
      <w:szCs w:val="24"/>
      <w:lang w:val="en-US" w:eastAsia="zh-CN" w:bidi="ar-SA"/>
    </w:rPr>
  </w:style>
  <w:style w:type="paragraph" w:customStyle="1" w:styleId="142">
    <w:name w:val="样式 168 10 磅"/>
    <w:qFormat/>
    <w:uiPriority w:val="0"/>
    <w:pPr>
      <w:widowControl w:val="0"/>
      <w:jc w:val="both"/>
    </w:pPr>
    <w:rPr>
      <w:rFonts w:ascii="Calibri" w:hAnsi="Calibri" w:eastAsia="宋体" w:cs="Arial"/>
      <w:kern w:val="2"/>
      <w:sz w:val="21"/>
      <w:szCs w:val="24"/>
      <w:lang w:val="en-US" w:eastAsia="zh-CN" w:bidi="ar-SA"/>
    </w:rPr>
  </w:style>
  <w:style w:type="paragraph" w:customStyle="1" w:styleId="143">
    <w:name w:val="样式 167 10 磅"/>
    <w:qFormat/>
    <w:uiPriority w:val="0"/>
    <w:pPr>
      <w:widowControl w:val="0"/>
      <w:jc w:val="both"/>
    </w:pPr>
    <w:rPr>
      <w:rFonts w:ascii="Calibri" w:hAnsi="Calibri" w:eastAsia="宋体" w:cs="Arial"/>
      <w:kern w:val="2"/>
      <w:sz w:val="21"/>
      <w:szCs w:val="24"/>
      <w:lang w:val="en-US" w:eastAsia="zh-CN" w:bidi="ar-SA"/>
    </w:rPr>
  </w:style>
  <w:style w:type="paragraph" w:customStyle="1" w:styleId="144">
    <w:name w:val="样式 166 10 磅"/>
    <w:qFormat/>
    <w:uiPriority w:val="0"/>
    <w:pPr>
      <w:widowControl w:val="0"/>
      <w:jc w:val="both"/>
    </w:pPr>
    <w:rPr>
      <w:rFonts w:ascii="Calibri" w:hAnsi="Calibri" w:eastAsia="宋体" w:cs="Arial"/>
      <w:kern w:val="2"/>
      <w:sz w:val="21"/>
      <w:szCs w:val="24"/>
      <w:lang w:val="en-US" w:eastAsia="zh-CN" w:bidi="ar-SA"/>
    </w:rPr>
  </w:style>
  <w:style w:type="paragraph" w:customStyle="1" w:styleId="145">
    <w:name w:val="样式 165 10 磅"/>
    <w:qFormat/>
    <w:uiPriority w:val="0"/>
    <w:pPr>
      <w:widowControl w:val="0"/>
      <w:jc w:val="both"/>
    </w:pPr>
    <w:rPr>
      <w:rFonts w:ascii="Calibri" w:hAnsi="Calibri" w:eastAsia="宋体" w:cs="Arial"/>
      <w:kern w:val="2"/>
      <w:sz w:val="21"/>
      <w:szCs w:val="24"/>
      <w:lang w:val="en-US" w:eastAsia="zh-CN" w:bidi="ar-SA"/>
    </w:rPr>
  </w:style>
  <w:style w:type="paragraph" w:customStyle="1" w:styleId="146">
    <w:name w:val="样式 164 10 磅"/>
    <w:qFormat/>
    <w:uiPriority w:val="0"/>
    <w:pPr>
      <w:widowControl w:val="0"/>
      <w:jc w:val="both"/>
    </w:pPr>
    <w:rPr>
      <w:rFonts w:ascii="Calibri" w:hAnsi="Calibri" w:eastAsia="宋体" w:cs="Arial"/>
      <w:kern w:val="2"/>
      <w:sz w:val="21"/>
      <w:szCs w:val="24"/>
      <w:lang w:val="en-US" w:eastAsia="zh-CN" w:bidi="ar-SA"/>
    </w:rPr>
  </w:style>
  <w:style w:type="paragraph" w:customStyle="1" w:styleId="147">
    <w:name w:val="样式 163 10 磅"/>
    <w:qFormat/>
    <w:uiPriority w:val="0"/>
    <w:pPr>
      <w:widowControl w:val="0"/>
      <w:jc w:val="both"/>
    </w:pPr>
    <w:rPr>
      <w:rFonts w:ascii="Calibri" w:hAnsi="Calibri" w:eastAsia="宋体" w:cs="Arial"/>
      <w:kern w:val="2"/>
      <w:sz w:val="21"/>
      <w:szCs w:val="24"/>
      <w:lang w:val="en-US" w:eastAsia="zh-CN" w:bidi="ar-SA"/>
    </w:rPr>
  </w:style>
  <w:style w:type="paragraph" w:customStyle="1" w:styleId="148">
    <w:name w:val="样式 162 10 磅"/>
    <w:qFormat/>
    <w:uiPriority w:val="0"/>
    <w:pPr>
      <w:widowControl w:val="0"/>
      <w:jc w:val="both"/>
    </w:pPr>
    <w:rPr>
      <w:rFonts w:ascii="Calibri" w:hAnsi="Calibri" w:eastAsia="宋体" w:cs="Arial"/>
      <w:kern w:val="2"/>
      <w:sz w:val="21"/>
      <w:szCs w:val="24"/>
      <w:lang w:val="en-US" w:eastAsia="zh-CN" w:bidi="ar-SA"/>
    </w:rPr>
  </w:style>
  <w:style w:type="paragraph" w:customStyle="1" w:styleId="149">
    <w:name w:val="样式 161 10 磅"/>
    <w:qFormat/>
    <w:uiPriority w:val="0"/>
    <w:pPr>
      <w:widowControl w:val="0"/>
      <w:jc w:val="both"/>
    </w:pPr>
    <w:rPr>
      <w:rFonts w:ascii="Calibri" w:hAnsi="Calibri" w:eastAsia="宋体" w:cs="Arial"/>
      <w:kern w:val="2"/>
      <w:sz w:val="21"/>
      <w:szCs w:val="24"/>
      <w:lang w:val="en-US" w:eastAsia="zh-CN" w:bidi="ar-SA"/>
    </w:rPr>
  </w:style>
  <w:style w:type="paragraph" w:customStyle="1" w:styleId="150">
    <w:name w:val="样式 160 10 磅"/>
    <w:qFormat/>
    <w:uiPriority w:val="0"/>
    <w:pPr>
      <w:widowControl w:val="0"/>
      <w:jc w:val="both"/>
    </w:pPr>
    <w:rPr>
      <w:rFonts w:ascii="Calibri" w:hAnsi="Calibri" w:eastAsia="宋体" w:cs="Arial"/>
      <w:kern w:val="2"/>
      <w:sz w:val="21"/>
      <w:szCs w:val="24"/>
      <w:lang w:val="en-US" w:eastAsia="zh-CN" w:bidi="ar-SA"/>
    </w:rPr>
  </w:style>
  <w:style w:type="paragraph" w:customStyle="1" w:styleId="151">
    <w:name w:val="样式 159 10 磅"/>
    <w:qFormat/>
    <w:uiPriority w:val="0"/>
    <w:pPr>
      <w:widowControl w:val="0"/>
      <w:jc w:val="both"/>
    </w:pPr>
    <w:rPr>
      <w:rFonts w:ascii="Calibri" w:hAnsi="Calibri" w:eastAsia="宋体" w:cs="Arial"/>
      <w:kern w:val="2"/>
      <w:sz w:val="21"/>
      <w:szCs w:val="24"/>
      <w:lang w:val="en-US" w:eastAsia="zh-CN" w:bidi="ar-SA"/>
    </w:rPr>
  </w:style>
  <w:style w:type="paragraph" w:customStyle="1" w:styleId="152">
    <w:name w:val="样式 158 10 磅"/>
    <w:qFormat/>
    <w:uiPriority w:val="0"/>
    <w:pPr>
      <w:widowControl w:val="0"/>
      <w:jc w:val="both"/>
    </w:pPr>
    <w:rPr>
      <w:rFonts w:ascii="Calibri" w:hAnsi="Calibri" w:eastAsia="宋体" w:cs="Arial"/>
      <w:kern w:val="2"/>
      <w:sz w:val="21"/>
      <w:szCs w:val="24"/>
      <w:lang w:val="en-US" w:eastAsia="zh-CN" w:bidi="ar-SA"/>
    </w:rPr>
  </w:style>
  <w:style w:type="paragraph" w:customStyle="1" w:styleId="153">
    <w:name w:val="样式 157 10 磅"/>
    <w:qFormat/>
    <w:uiPriority w:val="0"/>
    <w:pPr>
      <w:widowControl w:val="0"/>
      <w:jc w:val="both"/>
    </w:pPr>
    <w:rPr>
      <w:rFonts w:ascii="Calibri" w:hAnsi="Calibri" w:eastAsia="宋体" w:cs="Arial"/>
      <w:kern w:val="2"/>
      <w:sz w:val="21"/>
      <w:szCs w:val="24"/>
      <w:lang w:val="en-US" w:eastAsia="zh-CN" w:bidi="ar-SA"/>
    </w:rPr>
  </w:style>
  <w:style w:type="paragraph" w:customStyle="1" w:styleId="154">
    <w:name w:val="样式 156 10 磅"/>
    <w:qFormat/>
    <w:uiPriority w:val="0"/>
    <w:pPr>
      <w:widowControl w:val="0"/>
      <w:jc w:val="both"/>
    </w:pPr>
    <w:rPr>
      <w:rFonts w:ascii="Calibri" w:hAnsi="Calibri" w:eastAsia="宋体" w:cs="Arial"/>
      <w:kern w:val="2"/>
      <w:sz w:val="21"/>
      <w:szCs w:val="24"/>
      <w:lang w:val="en-US" w:eastAsia="zh-CN" w:bidi="ar-SA"/>
    </w:rPr>
  </w:style>
  <w:style w:type="paragraph" w:customStyle="1" w:styleId="155">
    <w:name w:val="样式 155 10 磅"/>
    <w:qFormat/>
    <w:uiPriority w:val="0"/>
    <w:pPr>
      <w:widowControl w:val="0"/>
      <w:jc w:val="both"/>
    </w:pPr>
    <w:rPr>
      <w:rFonts w:ascii="Calibri" w:hAnsi="Calibri" w:eastAsia="宋体" w:cs="Arial"/>
      <w:kern w:val="2"/>
      <w:sz w:val="21"/>
      <w:szCs w:val="24"/>
      <w:lang w:val="en-US" w:eastAsia="zh-CN" w:bidi="ar-SA"/>
    </w:rPr>
  </w:style>
  <w:style w:type="paragraph" w:customStyle="1" w:styleId="156">
    <w:name w:val="样式 154 10 磅"/>
    <w:qFormat/>
    <w:uiPriority w:val="0"/>
    <w:pPr>
      <w:widowControl w:val="0"/>
      <w:jc w:val="both"/>
    </w:pPr>
    <w:rPr>
      <w:rFonts w:ascii="Calibri" w:hAnsi="Calibri" w:eastAsia="宋体" w:cs="Arial"/>
      <w:kern w:val="2"/>
      <w:sz w:val="21"/>
      <w:szCs w:val="24"/>
      <w:lang w:val="en-US" w:eastAsia="zh-CN" w:bidi="ar-SA"/>
    </w:rPr>
  </w:style>
  <w:style w:type="paragraph" w:customStyle="1" w:styleId="157">
    <w:name w:val="样式 153 10 磅"/>
    <w:qFormat/>
    <w:uiPriority w:val="0"/>
    <w:pPr>
      <w:widowControl w:val="0"/>
      <w:jc w:val="both"/>
    </w:pPr>
    <w:rPr>
      <w:rFonts w:ascii="Calibri" w:hAnsi="Calibri" w:eastAsia="宋体" w:cs="Arial"/>
      <w:kern w:val="2"/>
      <w:sz w:val="21"/>
      <w:szCs w:val="24"/>
      <w:lang w:val="en-US" w:eastAsia="zh-CN" w:bidi="ar-SA"/>
    </w:rPr>
  </w:style>
  <w:style w:type="paragraph" w:customStyle="1" w:styleId="158">
    <w:name w:val="样式 152 10 磅"/>
    <w:qFormat/>
    <w:uiPriority w:val="0"/>
    <w:pPr>
      <w:widowControl w:val="0"/>
      <w:jc w:val="both"/>
    </w:pPr>
    <w:rPr>
      <w:rFonts w:ascii="Calibri" w:hAnsi="Calibri" w:eastAsia="宋体" w:cs="Arial"/>
      <w:kern w:val="2"/>
      <w:sz w:val="21"/>
      <w:szCs w:val="24"/>
      <w:lang w:val="en-US" w:eastAsia="zh-CN" w:bidi="ar-SA"/>
    </w:rPr>
  </w:style>
  <w:style w:type="paragraph" w:customStyle="1" w:styleId="159">
    <w:name w:val="样式 151 10 磅"/>
    <w:qFormat/>
    <w:uiPriority w:val="0"/>
    <w:pPr>
      <w:widowControl w:val="0"/>
      <w:jc w:val="both"/>
    </w:pPr>
    <w:rPr>
      <w:rFonts w:ascii="Calibri" w:hAnsi="Calibri" w:eastAsia="宋体" w:cs="Arial"/>
      <w:kern w:val="2"/>
      <w:sz w:val="21"/>
      <w:szCs w:val="24"/>
      <w:lang w:val="en-US" w:eastAsia="zh-CN" w:bidi="ar-SA"/>
    </w:rPr>
  </w:style>
  <w:style w:type="paragraph" w:customStyle="1" w:styleId="160">
    <w:name w:val="样式 150 10 磅"/>
    <w:qFormat/>
    <w:uiPriority w:val="0"/>
    <w:pPr>
      <w:widowControl w:val="0"/>
      <w:jc w:val="both"/>
    </w:pPr>
    <w:rPr>
      <w:rFonts w:ascii="Calibri" w:hAnsi="Calibri" w:eastAsia="宋体" w:cs="Arial"/>
      <w:kern w:val="2"/>
      <w:sz w:val="21"/>
      <w:szCs w:val="24"/>
      <w:lang w:val="en-US" w:eastAsia="zh-CN" w:bidi="ar-SA"/>
    </w:rPr>
  </w:style>
  <w:style w:type="paragraph" w:customStyle="1" w:styleId="161">
    <w:name w:val="样式 149 10 磅"/>
    <w:qFormat/>
    <w:uiPriority w:val="0"/>
    <w:pPr>
      <w:widowControl w:val="0"/>
      <w:jc w:val="both"/>
    </w:pPr>
    <w:rPr>
      <w:rFonts w:ascii="Calibri" w:hAnsi="Calibri" w:eastAsia="宋体" w:cs="Arial"/>
      <w:kern w:val="2"/>
      <w:sz w:val="21"/>
      <w:szCs w:val="24"/>
      <w:lang w:val="en-US" w:eastAsia="zh-CN" w:bidi="ar-SA"/>
    </w:rPr>
  </w:style>
  <w:style w:type="paragraph" w:customStyle="1" w:styleId="162">
    <w:name w:val="样式 148 10 磅"/>
    <w:qFormat/>
    <w:uiPriority w:val="0"/>
    <w:pPr>
      <w:widowControl w:val="0"/>
      <w:jc w:val="both"/>
    </w:pPr>
    <w:rPr>
      <w:rFonts w:ascii="Calibri" w:hAnsi="Calibri" w:eastAsia="宋体" w:cs="Arial"/>
      <w:kern w:val="2"/>
      <w:sz w:val="21"/>
      <w:szCs w:val="24"/>
      <w:lang w:val="en-US" w:eastAsia="zh-CN" w:bidi="ar-SA"/>
    </w:rPr>
  </w:style>
  <w:style w:type="paragraph" w:customStyle="1" w:styleId="163">
    <w:name w:val="样式 147 10 磅"/>
    <w:qFormat/>
    <w:uiPriority w:val="0"/>
    <w:pPr>
      <w:widowControl w:val="0"/>
      <w:jc w:val="both"/>
    </w:pPr>
    <w:rPr>
      <w:rFonts w:ascii="Calibri" w:hAnsi="Calibri" w:eastAsia="宋体" w:cs="Arial"/>
      <w:kern w:val="2"/>
      <w:sz w:val="21"/>
      <w:szCs w:val="24"/>
      <w:lang w:val="en-US" w:eastAsia="zh-CN" w:bidi="ar-SA"/>
    </w:rPr>
  </w:style>
  <w:style w:type="paragraph" w:customStyle="1" w:styleId="164">
    <w:name w:val="样式 146 10 磅"/>
    <w:qFormat/>
    <w:uiPriority w:val="0"/>
    <w:pPr>
      <w:widowControl w:val="0"/>
      <w:jc w:val="both"/>
    </w:pPr>
    <w:rPr>
      <w:rFonts w:ascii="Calibri" w:hAnsi="Calibri" w:eastAsia="宋体" w:cs="Arial"/>
      <w:kern w:val="2"/>
      <w:sz w:val="21"/>
      <w:szCs w:val="24"/>
      <w:lang w:val="en-US" w:eastAsia="zh-CN" w:bidi="ar-SA"/>
    </w:rPr>
  </w:style>
  <w:style w:type="paragraph" w:customStyle="1" w:styleId="165">
    <w:name w:val="样式 145 10 磅"/>
    <w:qFormat/>
    <w:uiPriority w:val="0"/>
    <w:pPr>
      <w:widowControl w:val="0"/>
      <w:jc w:val="both"/>
    </w:pPr>
    <w:rPr>
      <w:rFonts w:ascii="Calibri" w:hAnsi="Calibri" w:eastAsia="宋体" w:cs="Arial"/>
      <w:kern w:val="2"/>
      <w:sz w:val="21"/>
      <w:szCs w:val="24"/>
      <w:lang w:val="en-US" w:eastAsia="zh-CN" w:bidi="ar-SA"/>
    </w:rPr>
  </w:style>
  <w:style w:type="paragraph" w:customStyle="1" w:styleId="166">
    <w:name w:val="样式 144 10 磅"/>
    <w:qFormat/>
    <w:uiPriority w:val="0"/>
    <w:pPr>
      <w:widowControl w:val="0"/>
      <w:jc w:val="both"/>
    </w:pPr>
    <w:rPr>
      <w:rFonts w:ascii="Calibri" w:hAnsi="Calibri" w:eastAsia="宋体" w:cs="Arial"/>
      <w:kern w:val="2"/>
      <w:sz w:val="21"/>
      <w:szCs w:val="24"/>
      <w:lang w:val="en-US" w:eastAsia="zh-CN" w:bidi="ar-SA"/>
    </w:rPr>
  </w:style>
  <w:style w:type="paragraph" w:customStyle="1" w:styleId="167">
    <w:name w:val="样式 143 10 磅"/>
    <w:qFormat/>
    <w:uiPriority w:val="0"/>
    <w:pPr>
      <w:widowControl w:val="0"/>
      <w:jc w:val="both"/>
    </w:pPr>
    <w:rPr>
      <w:rFonts w:ascii="Calibri" w:hAnsi="Calibri" w:eastAsia="宋体" w:cs="Arial"/>
      <w:kern w:val="2"/>
      <w:sz w:val="21"/>
      <w:szCs w:val="24"/>
      <w:lang w:val="en-US" w:eastAsia="zh-CN" w:bidi="ar-SA"/>
    </w:rPr>
  </w:style>
  <w:style w:type="paragraph" w:customStyle="1" w:styleId="168">
    <w:name w:val="样式 142 10 磅"/>
    <w:qFormat/>
    <w:uiPriority w:val="0"/>
    <w:pPr>
      <w:widowControl w:val="0"/>
      <w:jc w:val="both"/>
    </w:pPr>
    <w:rPr>
      <w:rFonts w:ascii="Calibri" w:hAnsi="Calibri" w:eastAsia="宋体" w:cs="Arial"/>
      <w:kern w:val="2"/>
      <w:sz w:val="21"/>
      <w:szCs w:val="24"/>
      <w:lang w:val="en-US" w:eastAsia="zh-CN" w:bidi="ar-SA"/>
    </w:rPr>
  </w:style>
  <w:style w:type="paragraph" w:customStyle="1" w:styleId="169">
    <w:name w:val="样式 141 10 磅"/>
    <w:qFormat/>
    <w:uiPriority w:val="0"/>
    <w:pPr>
      <w:widowControl w:val="0"/>
      <w:jc w:val="both"/>
    </w:pPr>
    <w:rPr>
      <w:rFonts w:ascii="Calibri" w:hAnsi="Calibri" w:eastAsia="宋体" w:cs="Arial"/>
      <w:kern w:val="2"/>
      <w:sz w:val="21"/>
      <w:szCs w:val="24"/>
      <w:lang w:val="en-US" w:eastAsia="zh-CN" w:bidi="ar-SA"/>
    </w:rPr>
  </w:style>
  <w:style w:type="paragraph" w:customStyle="1" w:styleId="170">
    <w:name w:val="样式 137 10 磅"/>
    <w:qFormat/>
    <w:uiPriority w:val="0"/>
    <w:pPr>
      <w:widowControl w:val="0"/>
      <w:jc w:val="both"/>
    </w:pPr>
    <w:rPr>
      <w:rFonts w:ascii="Calibri" w:hAnsi="Calibri" w:eastAsia="宋体" w:cs="Arial"/>
      <w:kern w:val="2"/>
      <w:sz w:val="21"/>
      <w:szCs w:val="24"/>
      <w:lang w:val="en-US" w:eastAsia="zh-CN" w:bidi="ar-SA"/>
    </w:rPr>
  </w:style>
  <w:style w:type="paragraph" w:customStyle="1" w:styleId="171">
    <w:name w:val="样式 136 10 磅"/>
    <w:qFormat/>
    <w:uiPriority w:val="0"/>
    <w:pPr>
      <w:widowControl w:val="0"/>
      <w:jc w:val="both"/>
    </w:pPr>
    <w:rPr>
      <w:rFonts w:ascii="Calibri" w:hAnsi="Calibri" w:eastAsia="宋体" w:cs="Arial"/>
      <w:kern w:val="2"/>
      <w:sz w:val="21"/>
      <w:szCs w:val="24"/>
      <w:lang w:val="en-US" w:eastAsia="zh-CN" w:bidi="ar-SA"/>
    </w:rPr>
  </w:style>
  <w:style w:type="paragraph" w:customStyle="1" w:styleId="172">
    <w:name w:val="样式 135 10 磅"/>
    <w:qFormat/>
    <w:uiPriority w:val="0"/>
    <w:pPr>
      <w:widowControl w:val="0"/>
      <w:jc w:val="both"/>
    </w:pPr>
    <w:rPr>
      <w:rFonts w:ascii="Calibri" w:hAnsi="Calibri" w:eastAsia="宋体" w:cs="Arial"/>
      <w:kern w:val="2"/>
      <w:sz w:val="21"/>
      <w:szCs w:val="24"/>
      <w:lang w:val="en-US" w:eastAsia="zh-CN" w:bidi="ar-SA"/>
    </w:rPr>
  </w:style>
  <w:style w:type="paragraph" w:customStyle="1" w:styleId="173">
    <w:name w:val="样式 134 10 磅"/>
    <w:qFormat/>
    <w:uiPriority w:val="0"/>
    <w:pPr>
      <w:widowControl w:val="0"/>
      <w:jc w:val="both"/>
    </w:pPr>
    <w:rPr>
      <w:rFonts w:ascii="Calibri" w:hAnsi="Calibri" w:eastAsia="宋体" w:cs="Arial"/>
      <w:kern w:val="2"/>
      <w:sz w:val="21"/>
      <w:szCs w:val="24"/>
      <w:lang w:val="en-US" w:eastAsia="zh-CN" w:bidi="ar-SA"/>
    </w:rPr>
  </w:style>
  <w:style w:type="paragraph" w:customStyle="1" w:styleId="174">
    <w:name w:val="样式 133 10 磅"/>
    <w:qFormat/>
    <w:uiPriority w:val="0"/>
    <w:pPr>
      <w:widowControl w:val="0"/>
      <w:jc w:val="both"/>
    </w:pPr>
    <w:rPr>
      <w:rFonts w:ascii="Calibri" w:hAnsi="Calibri" w:eastAsia="宋体" w:cs="Arial"/>
      <w:kern w:val="2"/>
      <w:sz w:val="21"/>
      <w:szCs w:val="24"/>
      <w:lang w:val="en-US" w:eastAsia="zh-CN" w:bidi="ar-SA"/>
    </w:rPr>
  </w:style>
  <w:style w:type="paragraph" w:customStyle="1" w:styleId="175">
    <w:name w:val="样式 132 10 磅"/>
    <w:qFormat/>
    <w:uiPriority w:val="0"/>
    <w:pPr>
      <w:widowControl w:val="0"/>
      <w:jc w:val="both"/>
    </w:pPr>
    <w:rPr>
      <w:rFonts w:ascii="Calibri" w:hAnsi="Calibri" w:eastAsia="宋体" w:cs="Arial"/>
      <w:kern w:val="2"/>
      <w:sz w:val="21"/>
      <w:szCs w:val="24"/>
      <w:lang w:val="en-US" w:eastAsia="zh-CN" w:bidi="ar-SA"/>
    </w:rPr>
  </w:style>
  <w:style w:type="paragraph" w:customStyle="1" w:styleId="176">
    <w:name w:val="样式 131 10 磅"/>
    <w:qFormat/>
    <w:uiPriority w:val="0"/>
    <w:pPr>
      <w:widowControl w:val="0"/>
      <w:jc w:val="both"/>
    </w:pPr>
    <w:rPr>
      <w:rFonts w:ascii="Calibri" w:hAnsi="Calibri" w:eastAsia="宋体" w:cs="Arial"/>
      <w:kern w:val="2"/>
      <w:sz w:val="21"/>
      <w:szCs w:val="24"/>
      <w:lang w:val="en-US" w:eastAsia="zh-CN" w:bidi="ar-SA"/>
    </w:rPr>
  </w:style>
  <w:style w:type="paragraph" w:customStyle="1" w:styleId="177">
    <w:name w:val="样式 130 10 磅"/>
    <w:qFormat/>
    <w:uiPriority w:val="0"/>
    <w:pPr>
      <w:widowControl w:val="0"/>
      <w:jc w:val="both"/>
    </w:pPr>
    <w:rPr>
      <w:rFonts w:ascii="Calibri" w:hAnsi="Calibri" w:eastAsia="宋体" w:cs="Arial"/>
      <w:kern w:val="2"/>
      <w:sz w:val="21"/>
      <w:szCs w:val="24"/>
      <w:lang w:val="en-US" w:eastAsia="zh-CN" w:bidi="ar-SA"/>
    </w:rPr>
  </w:style>
  <w:style w:type="paragraph" w:customStyle="1" w:styleId="178">
    <w:name w:val="样式 129 10 磅"/>
    <w:qFormat/>
    <w:uiPriority w:val="0"/>
    <w:pPr>
      <w:widowControl w:val="0"/>
      <w:jc w:val="both"/>
    </w:pPr>
    <w:rPr>
      <w:rFonts w:ascii="Calibri" w:hAnsi="Calibri" w:eastAsia="宋体" w:cs="Arial"/>
      <w:kern w:val="2"/>
      <w:sz w:val="21"/>
      <w:szCs w:val="24"/>
      <w:lang w:val="en-US" w:eastAsia="zh-CN" w:bidi="ar-SA"/>
    </w:rPr>
  </w:style>
  <w:style w:type="paragraph" w:customStyle="1" w:styleId="179">
    <w:name w:val="样式 128 10 磅"/>
    <w:qFormat/>
    <w:uiPriority w:val="0"/>
    <w:pPr>
      <w:widowControl w:val="0"/>
      <w:jc w:val="both"/>
    </w:pPr>
    <w:rPr>
      <w:rFonts w:ascii="Calibri" w:hAnsi="Calibri" w:eastAsia="宋体" w:cs="Arial"/>
      <w:kern w:val="2"/>
      <w:sz w:val="21"/>
      <w:szCs w:val="24"/>
      <w:lang w:val="en-US" w:eastAsia="zh-CN" w:bidi="ar-SA"/>
    </w:rPr>
  </w:style>
  <w:style w:type="paragraph" w:customStyle="1" w:styleId="180">
    <w:name w:val="样式 127 10 磅"/>
    <w:qFormat/>
    <w:uiPriority w:val="0"/>
    <w:pPr>
      <w:widowControl w:val="0"/>
      <w:jc w:val="both"/>
    </w:pPr>
    <w:rPr>
      <w:rFonts w:ascii="Calibri" w:hAnsi="Calibri" w:eastAsia="宋体" w:cs="Arial"/>
      <w:kern w:val="2"/>
      <w:sz w:val="21"/>
      <w:szCs w:val="24"/>
      <w:lang w:val="en-US" w:eastAsia="zh-CN" w:bidi="ar-SA"/>
    </w:rPr>
  </w:style>
  <w:style w:type="paragraph" w:customStyle="1" w:styleId="181">
    <w:name w:val="样式 126 10 磅"/>
    <w:qFormat/>
    <w:uiPriority w:val="0"/>
    <w:pPr>
      <w:widowControl w:val="0"/>
      <w:jc w:val="both"/>
    </w:pPr>
    <w:rPr>
      <w:rFonts w:ascii="Calibri" w:hAnsi="Calibri" w:eastAsia="宋体" w:cs="Arial"/>
      <w:kern w:val="2"/>
      <w:sz w:val="21"/>
      <w:szCs w:val="24"/>
      <w:lang w:val="en-US" w:eastAsia="zh-CN" w:bidi="ar-SA"/>
    </w:rPr>
  </w:style>
  <w:style w:type="paragraph" w:customStyle="1" w:styleId="182">
    <w:name w:val="样式 125 10 磅"/>
    <w:qFormat/>
    <w:uiPriority w:val="0"/>
    <w:pPr>
      <w:widowControl w:val="0"/>
      <w:jc w:val="both"/>
    </w:pPr>
    <w:rPr>
      <w:rFonts w:ascii="Calibri" w:hAnsi="Calibri" w:eastAsia="宋体" w:cs="Arial"/>
      <w:kern w:val="2"/>
      <w:sz w:val="21"/>
      <w:szCs w:val="24"/>
      <w:lang w:val="en-US" w:eastAsia="zh-CN" w:bidi="ar-SA"/>
    </w:rPr>
  </w:style>
  <w:style w:type="paragraph" w:customStyle="1" w:styleId="183">
    <w:name w:val="样式 124 10 磅"/>
    <w:qFormat/>
    <w:uiPriority w:val="0"/>
    <w:pPr>
      <w:widowControl w:val="0"/>
      <w:jc w:val="both"/>
    </w:pPr>
    <w:rPr>
      <w:rFonts w:ascii="Calibri" w:hAnsi="Calibri" w:eastAsia="宋体" w:cs="Arial"/>
      <w:kern w:val="2"/>
      <w:sz w:val="21"/>
      <w:szCs w:val="24"/>
      <w:lang w:val="en-US" w:eastAsia="zh-CN" w:bidi="ar-SA"/>
    </w:rPr>
  </w:style>
  <w:style w:type="paragraph" w:customStyle="1" w:styleId="184">
    <w:name w:val="样式 123 10 磅"/>
    <w:qFormat/>
    <w:uiPriority w:val="0"/>
    <w:pPr>
      <w:widowControl w:val="0"/>
      <w:jc w:val="both"/>
    </w:pPr>
    <w:rPr>
      <w:rFonts w:ascii="Calibri" w:hAnsi="Calibri" w:eastAsia="宋体" w:cs="Arial"/>
      <w:kern w:val="2"/>
      <w:sz w:val="21"/>
      <w:szCs w:val="24"/>
      <w:lang w:val="en-US" w:eastAsia="zh-CN" w:bidi="ar-SA"/>
    </w:rPr>
  </w:style>
  <w:style w:type="paragraph" w:customStyle="1" w:styleId="185">
    <w:name w:val="样式 122 10 磅"/>
    <w:qFormat/>
    <w:uiPriority w:val="0"/>
    <w:pPr>
      <w:widowControl w:val="0"/>
      <w:jc w:val="both"/>
    </w:pPr>
    <w:rPr>
      <w:rFonts w:ascii="Calibri" w:hAnsi="Calibri" w:eastAsia="宋体" w:cs="Arial"/>
      <w:kern w:val="2"/>
      <w:sz w:val="21"/>
      <w:szCs w:val="24"/>
      <w:lang w:val="en-US" w:eastAsia="zh-CN" w:bidi="ar-SA"/>
    </w:rPr>
  </w:style>
  <w:style w:type="paragraph" w:customStyle="1" w:styleId="186">
    <w:name w:val="样式 121 10 磅"/>
    <w:qFormat/>
    <w:uiPriority w:val="0"/>
    <w:pPr>
      <w:widowControl w:val="0"/>
      <w:jc w:val="both"/>
    </w:pPr>
    <w:rPr>
      <w:rFonts w:ascii="Calibri" w:hAnsi="Calibri" w:eastAsia="宋体" w:cs="Arial"/>
      <w:kern w:val="2"/>
      <w:sz w:val="21"/>
      <w:szCs w:val="24"/>
      <w:lang w:val="en-US" w:eastAsia="zh-CN" w:bidi="ar-SA"/>
    </w:rPr>
  </w:style>
  <w:style w:type="paragraph" w:customStyle="1" w:styleId="187">
    <w:name w:val="样式 120 10 磅"/>
    <w:qFormat/>
    <w:uiPriority w:val="0"/>
    <w:pPr>
      <w:widowControl w:val="0"/>
      <w:jc w:val="both"/>
    </w:pPr>
    <w:rPr>
      <w:rFonts w:ascii="Calibri" w:hAnsi="Calibri" w:eastAsia="宋体" w:cs="Arial"/>
      <w:kern w:val="2"/>
      <w:sz w:val="21"/>
      <w:szCs w:val="24"/>
      <w:lang w:val="en-US" w:eastAsia="zh-CN" w:bidi="ar-SA"/>
    </w:rPr>
  </w:style>
  <w:style w:type="paragraph" w:customStyle="1" w:styleId="188">
    <w:name w:val="样式 119 10 磅"/>
    <w:qFormat/>
    <w:uiPriority w:val="0"/>
    <w:pPr>
      <w:widowControl w:val="0"/>
      <w:jc w:val="both"/>
    </w:pPr>
    <w:rPr>
      <w:rFonts w:ascii="Calibri" w:hAnsi="Calibri" w:eastAsia="宋体" w:cs="Arial"/>
      <w:kern w:val="2"/>
      <w:sz w:val="21"/>
      <w:szCs w:val="24"/>
      <w:lang w:val="en-US" w:eastAsia="zh-CN" w:bidi="ar-SA"/>
    </w:rPr>
  </w:style>
  <w:style w:type="paragraph" w:customStyle="1" w:styleId="189">
    <w:name w:val="样式 118 10 磅"/>
    <w:qFormat/>
    <w:uiPriority w:val="0"/>
    <w:pPr>
      <w:widowControl w:val="0"/>
      <w:jc w:val="both"/>
    </w:pPr>
    <w:rPr>
      <w:rFonts w:ascii="Calibri" w:hAnsi="Calibri" w:eastAsia="宋体" w:cs="Arial"/>
      <w:kern w:val="2"/>
      <w:sz w:val="21"/>
      <w:szCs w:val="24"/>
      <w:lang w:val="en-US" w:eastAsia="zh-CN" w:bidi="ar-SA"/>
    </w:rPr>
  </w:style>
  <w:style w:type="paragraph" w:customStyle="1" w:styleId="190">
    <w:name w:val="样式 117 10 磅"/>
    <w:qFormat/>
    <w:uiPriority w:val="0"/>
    <w:pPr>
      <w:widowControl w:val="0"/>
      <w:jc w:val="both"/>
    </w:pPr>
    <w:rPr>
      <w:rFonts w:ascii="Calibri" w:hAnsi="Calibri" w:eastAsia="宋体" w:cs="Arial"/>
      <w:kern w:val="2"/>
      <w:sz w:val="21"/>
      <w:szCs w:val="24"/>
      <w:lang w:val="en-US" w:eastAsia="zh-CN" w:bidi="ar-SA"/>
    </w:rPr>
  </w:style>
  <w:style w:type="paragraph" w:customStyle="1" w:styleId="191">
    <w:name w:val="样式 116 10 磅"/>
    <w:qFormat/>
    <w:uiPriority w:val="0"/>
    <w:pPr>
      <w:widowControl w:val="0"/>
      <w:jc w:val="both"/>
    </w:pPr>
    <w:rPr>
      <w:rFonts w:ascii="Calibri" w:hAnsi="Calibri" w:eastAsia="宋体" w:cs="Arial"/>
      <w:kern w:val="2"/>
      <w:sz w:val="21"/>
      <w:szCs w:val="24"/>
      <w:lang w:val="en-US" w:eastAsia="zh-CN" w:bidi="ar-SA"/>
    </w:rPr>
  </w:style>
  <w:style w:type="paragraph" w:customStyle="1" w:styleId="192">
    <w:name w:val="样式 115 10 磅"/>
    <w:qFormat/>
    <w:uiPriority w:val="0"/>
    <w:pPr>
      <w:widowControl w:val="0"/>
      <w:jc w:val="both"/>
    </w:pPr>
    <w:rPr>
      <w:rFonts w:ascii="Calibri" w:hAnsi="Calibri" w:eastAsia="宋体" w:cs="Arial"/>
      <w:kern w:val="2"/>
      <w:sz w:val="21"/>
      <w:szCs w:val="24"/>
      <w:lang w:val="en-US" w:eastAsia="zh-CN" w:bidi="ar-SA"/>
    </w:rPr>
  </w:style>
  <w:style w:type="paragraph" w:customStyle="1" w:styleId="193">
    <w:name w:val="样式 114 10 磅"/>
    <w:qFormat/>
    <w:uiPriority w:val="0"/>
    <w:pPr>
      <w:widowControl w:val="0"/>
      <w:jc w:val="both"/>
    </w:pPr>
    <w:rPr>
      <w:rFonts w:ascii="Calibri" w:hAnsi="Calibri" w:eastAsia="宋体" w:cs="Arial"/>
      <w:kern w:val="2"/>
      <w:sz w:val="21"/>
      <w:szCs w:val="24"/>
      <w:lang w:val="en-US" w:eastAsia="zh-CN" w:bidi="ar-SA"/>
    </w:rPr>
  </w:style>
  <w:style w:type="paragraph" w:customStyle="1" w:styleId="194">
    <w:name w:val="样式 113 10 磅"/>
    <w:qFormat/>
    <w:uiPriority w:val="0"/>
    <w:pPr>
      <w:widowControl w:val="0"/>
      <w:jc w:val="both"/>
    </w:pPr>
    <w:rPr>
      <w:rFonts w:ascii="Calibri" w:hAnsi="Calibri" w:eastAsia="宋体" w:cs="Arial"/>
      <w:kern w:val="2"/>
      <w:sz w:val="21"/>
      <w:szCs w:val="24"/>
      <w:lang w:val="en-US" w:eastAsia="zh-CN" w:bidi="ar-SA"/>
    </w:rPr>
  </w:style>
  <w:style w:type="paragraph" w:customStyle="1" w:styleId="195">
    <w:name w:val="样式 112 10 磅"/>
    <w:qFormat/>
    <w:uiPriority w:val="0"/>
    <w:pPr>
      <w:widowControl w:val="0"/>
      <w:jc w:val="both"/>
    </w:pPr>
    <w:rPr>
      <w:rFonts w:ascii="Calibri" w:hAnsi="Calibri" w:eastAsia="宋体" w:cs="Arial"/>
      <w:kern w:val="2"/>
      <w:sz w:val="21"/>
      <w:szCs w:val="24"/>
      <w:lang w:val="en-US" w:eastAsia="zh-CN" w:bidi="ar-SA"/>
    </w:rPr>
  </w:style>
  <w:style w:type="paragraph" w:customStyle="1" w:styleId="196">
    <w:name w:val="样式 111 10 磅"/>
    <w:qFormat/>
    <w:uiPriority w:val="0"/>
    <w:pPr>
      <w:widowControl w:val="0"/>
      <w:jc w:val="both"/>
    </w:pPr>
    <w:rPr>
      <w:rFonts w:ascii="Calibri" w:hAnsi="Calibri" w:eastAsia="宋体" w:cs="Arial"/>
      <w:kern w:val="2"/>
      <w:sz w:val="21"/>
      <w:szCs w:val="24"/>
      <w:lang w:val="en-US" w:eastAsia="zh-CN" w:bidi="ar-SA"/>
    </w:rPr>
  </w:style>
  <w:style w:type="paragraph" w:customStyle="1" w:styleId="197">
    <w:name w:val="样式 110 10 磅"/>
    <w:qFormat/>
    <w:uiPriority w:val="0"/>
    <w:pPr>
      <w:widowControl w:val="0"/>
      <w:jc w:val="both"/>
    </w:pPr>
    <w:rPr>
      <w:rFonts w:ascii="Calibri" w:hAnsi="Calibri" w:eastAsia="宋体" w:cs="Arial"/>
      <w:kern w:val="2"/>
      <w:sz w:val="21"/>
      <w:szCs w:val="24"/>
      <w:lang w:val="en-US" w:eastAsia="zh-CN" w:bidi="ar-SA"/>
    </w:rPr>
  </w:style>
  <w:style w:type="paragraph" w:customStyle="1" w:styleId="198">
    <w:name w:val="样式 109 10 磅"/>
    <w:qFormat/>
    <w:uiPriority w:val="0"/>
    <w:pPr>
      <w:widowControl w:val="0"/>
      <w:jc w:val="both"/>
    </w:pPr>
    <w:rPr>
      <w:rFonts w:ascii="Calibri" w:hAnsi="Calibri" w:eastAsia="宋体" w:cs="Arial"/>
      <w:kern w:val="2"/>
      <w:sz w:val="21"/>
      <w:szCs w:val="24"/>
      <w:lang w:val="en-US" w:eastAsia="zh-CN" w:bidi="ar-SA"/>
    </w:rPr>
  </w:style>
  <w:style w:type="paragraph" w:customStyle="1" w:styleId="199">
    <w:name w:val="样式 108 10 磅"/>
    <w:qFormat/>
    <w:uiPriority w:val="0"/>
    <w:pPr>
      <w:widowControl w:val="0"/>
      <w:jc w:val="both"/>
    </w:pPr>
    <w:rPr>
      <w:rFonts w:ascii="Calibri" w:hAnsi="Calibri" w:eastAsia="宋体" w:cs="Arial"/>
      <w:kern w:val="2"/>
      <w:sz w:val="21"/>
      <w:szCs w:val="24"/>
      <w:lang w:val="en-US" w:eastAsia="zh-CN" w:bidi="ar-SA"/>
    </w:rPr>
  </w:style>
  <w:style w:type="paragraph" w:customStyle="1" w:styleId="200">
    <w:name w:val="样式 107 10 磅"/>
    <w:qFormat/>
    <w:uiPriority w:val="0"/>
    <w:pPr>
      <w:widowControl w:val="0"/>
      <w:jc w:val="both"/>
    </w:pPr>
    <w:rPr>
      <w:rFonts w:ascii="Calibri" w:hAnsi="Calibri" w:eastAsia="宋体" w:cs="Arial"/>
      <w:kern w:val="2"/>
      <w:sz w:val="21"/>
      <w:szCs w:val="24"/>
      <w:lang w:val="en-US" w:eastAsia="zh-CN" w:bidi="ar-SA"/>
    </w:rPr>
  </w:style>
  <w:style w:type="paragraph" w:customStyle="1" w:styleId="201">
    <w:name w:val="样式 106 10 磅"/>
    <w:qFormat/>
    <w:uiPriority w:val="0"/>
    <w:pPr>
      <w:widowControl w:val="0"/>
      <w:jc w:val="both"/>
    </w:pPr>
    <w:rPr>
      <w:rFonts w:ascii="Calibri" w:hAnsi="Calibri" w:eastAsia="宋体" w:cs="Arial"/>
      <w:kern w:val="2"/>
      <w:sz w:val="21"/>
      <w:szCs w:val="24"/>
      <w:lang w:val="en-US" w:eastAsia="zh-CN" w:bidi="ar-SA"/>
    </w:rPr>
  </w:style>
  <w:style w:type="paragraph" w:customStyle="1" w:styleId="202">
    <w:name w:val="样式 105 10 磅"/>
    <w:qFormat/>
    <w:uiPriority w:val="0"/>
    <w:pPr>
      <w:widowControl w:val="0"/>
      <w:jc w:val="both"/>
    </w:pPr>
    <w:rPr>
      <w:rFonts w:ascii="Calibri" w:hAnsi="Calibri" w:eastAsia="宋体" w:cs="Arial"/>
      <w:kern w:val="2"/>
      <w:sz w:val="21"/>
      <w:szCs w:val="24"/>
      <w:lang w:val="en-US" w:eastAsia="zh-CN" w:bidi="ar-SA"/>
    </w:rPr>
  </w:style>
  <w:style w:type="paragraph" w:customStyle="1" w:styleId="203">
    <w:name w:val="样式 104 10 磅"/>
    <w:qFormat/>
    <w:uiPriority w:val="0"/>
    <w:pPr>
      <w:widowControl w:val="0"/>
      <w:jc w:val="both"/>
    </w:pPr>
    <w:rPr>
      <w:rFonts w:ascii="Calibri" w:hAnsi="Calibri" w:eastAsia="宋体" w:cs="Arial"/>
      <w:kern w:val="2"/>
      <w:sz w:val="21"/>
      <w:szCs w:val="24"/>
      <w:lang w:val="en-US" w:eastAsia="zh-CN" w:bidi="ar-SA"/>
    </w:rPr>
  </w:style>
  <w:style w:type="paragraph" w:customStyle="1" w:styleId="204">
    <w:name w:val="样式 103 10 磅"/>
    <w:qFormat/>
    <w:uiPriority w:val="0"/>
    <w:pPr>
      <w:widowControl w:val="0"/>
      <w:jc w:val="both"/>
    </w:pPr>
    <w:rPr>
      <w:rFonts w:ascii="Calibri" w:hAnsi="Calibri" w:eastAsia="宋体" w:cs="Arial"/>
      <w:kern w:val="2"/>
      <w:sz w:val="21"/>
      <w:szCs w:val="24"/>
      <w:lang w:val="en-US" w:eastAsia="zh-CN" w:bidi="ar-SA"/>
    </w:rPr>
  </w:style>
  <w:style w:type="paragraph" w:customStyle="1" w:styleId="205">
    <w:name w:val="样式 102 10 磅"/>
    <w:qFormat/>
    <w:uiPriority w:val="0"/>
    <w:pPr>
      <w:widowControl w:val="0"/>
      <w:jc w:val="both"/>
    </w:pPr>
    <w:rPr>
      <w:rFonts w:ascii="Calibri" w:hAnsi="Calibri" w:eastAsia="宋体" w:cs="Arial"/>
      <w:kern w:val="2"/>
      <w:sz w:val="21"/>
      <w:szCs w:val="24"/>
      <w:lang w:val="en-US" w:eastAsia="zh-CN" w:bidi="ar-SA"/>
    </w:rPr>
  </w:style>
  <w:style w:type="paragraph" w:customStyle="1" w:styleId="206">
    <w:name w:val="样式 101 10 磅"/>
    <w:qFormat/>
    <w:uiPriority w:val="0"/>
    <w:pPr>
      <w:widowControl w:val="0"/>
      <w:jc w:val="both"/>
    </w:pPr>
    <w:rPr>
      <w:rFonts w:ascii="Calibri" w:hAnsi="Calibri" w:eastAsia="宋体" w:cs="Arial"/>
      <w:kern w:val="2"/>
      <w:sz w:val="21"/>
      <w:szCs w:val="24"/>
      <w:lang w:val="en-US" w:eastAsia="zh-CN" w:bidi="ar-SA"/>
    </w:rPr>
  </w:style>
  <w:style w:type="paragraph" w:customStyle="1" w:styleId="207">
    <w:name w:val="样式 100 10 磅"/>
    <w:qFormat/>
    <w:uiPriority w:val="0"/>
    <w:pPr>
      <w:widowControl w:val="0"/>
      <w:jc w:val="both"/>
    </w:pPr>
    <w:rPr>
      <w:rFonts w:ascii="Calibri" w:hAnsi="Calibri" w:eastAsia="宋体" w:cs="Arial"/>
      <w:kern w:val="2"/>
      <w:sz w:val="21"/>
      <w:szCs w:val="24"/>
      <w:lang w:val="en-US" w:eastAsia="zh-CN" w:bidi="ar-SA"/>
    </w:rPr>
  </w:style>
  <w:style w:type="paragraph" w:customStyle="1" w:styleId="208">
    <w:name w:val="样式 99 10 磅"/>
    <w:qFormat/>
    <w:uiPriority w:val="0"/>
    <w:pPr>
      <w:widowControl w:val="0"/>
      <w:jc w:val="both"/>
    </w:pPr>
    <w:rPr>
      <w:rFonts w:ascii="Calibri" w:hAnsi="Calibri" w:eastAsia="宋体" w:cs="Arial"/>
      <w:kern w:val="2"/>
      <w:sz w:val="21"/>
      <w:szCs w:val="24"/>
      <w:lang w:val="en-US" w:eastAsia="zh-CN" w:bidi="ar-SA"/>
    </w:rPr>
  </w:style>
  <w:style w:type="paragraph" w:customStyle="1" w:styleId="209">
    <w:name w:val="样式 98 10 磅"/>
    <w:qFormat/>
    <w:uiPriority w:val="0"/>
    <w:pPr>
      <w:widowControl w:val="0"/>
      <w:jc w:val="both"/>
    </w:pPr>
    <w:rPr>
      <w:rFonts w:ascii="Calibri" w:hAnsi="Calibri" w:eastAsia="宋体" w:cs="Arial"/>
      <w:kern w:val="2"/>
      <w:sz w:val="21"/>
      <w:szCs w:val="24"/>
      <w:lang w:val="en-US" w:eastAsia="zh-CN" w:bidi="ar-SA"/>
    </w:rPr>
  </w:style>
  <w:style w:type="paragraph" w:customStyle="1" w:styleId="210">
    <w:name w:val="样式 97 10 磅"/>
    <w:qFormat/>
    <w:uiPriority w:val="0"/>
    <w:pPr>
      <w:widowControl w:val="0"/>
      <w:jc w:val="both"/>
    </w:pPr>
    <w:rPr>
      <w:rFonts w:ascii="Calibri" w:hAnsi="Calibri" w:eastAsia="宋体" w:cs="Arial"/>
      <w:kern w:val="2"/>
      <w:sz w:val="21"/>
      <w:szCs w:val="24"/>
      <w:lang w:val="en-US" w:eastAsia="zh-CN" w:bidi="ar-SA"/>
    </w:rPr>
  </w:style>
  <w:style w:type="paragraph" w:customStyle="1" w:styleId="211">
    <w:name w:val="样式 96 10 磅"/>
    <w:qFormat/>
    <w:uiPriority w:val="0"/>
    <w:pPr>
      <w:widowControl w:val="0"/>
      <w:jc w:val="both"/>
    </w:pPr>
    <w:rPr>
      <w:rFonts w:ascii="Calibri" w:hAnsi="Calibri" w:eastAsia="宋体" w:cs="Arial"/>
      <w:kern w:val="2"/>
      <w:sz w:val="21"/>
      <w:szCs w:val="24"/>
      <w:lang w:val="en-US" w:eastAsia="zh-CN" w:bidi="ar-SA"/>
    </w:rPr>
  </w:style>
  <w:style w:type="paragraph" w:customStyle="1" w:styleId="212">
    <w:name w:val="样式 95 10 磅"/>
    <w:qFormat/>
    <w:uiPriority w:val="0"/>
    <w:pPr>
      <w:widowControl w:val="0"/>
      <w:jc w:val="both"/>
    </w:pPr>
    <w:rPr>
      <w:rFonts w:ascii="Calibri" w:hAnsi="Calibri" w:eastAsia="宋体" w:cs="Arial"/>
      <w:kern w:val="2"/>
      <w:sz w:val="21"/>
      <w:szCs w:val="24"/>
      <w:lang w:val="en-US" w:eastAsia="zh-CN" w:bidi="ar-SA"/>
    </w:rPr>
  </w:style>
  <w:style w:type="paragraph" w:customStyle="1" w:styleId="213">
    <w:name w:val="样式 94 10 磅"/>
    <w:qFormat/>
    <w:uiPriority w:val="0"/>
    <w:pPr>
      <w:widowControl w:val="0"/>
      <w:jc w:val="both"/>
    </w:pPr>
    <w:rPr>
      <w:rFonts w:ascii="Calibri" w:hAnsi="Calibri" w:eastAsia="宋体" w:cs="Arial"/>
      <w:kern w:val="2"/>
      <w:sz w:val="21"/>
      <w:szCs w:val="24"/>
      <w:lang w:val="en-US" w:eastAsia="zh-CN" w:bidi="ar-SA"/>
    </w:rPr>
  </w:style>
  <w:style w:type="paragraph" w:customStyle="1" w:styleId="214">
    <w:name w:val="样式 93 10 磅"/>
    <w:qFormat/>
    <w:uiPriority w:val="0"/>
    <w:pPr>
      <w:widowControl w:val="0"/>
      <w:jc w:val="both"/>
    </w:pPr>
    <w:rPr>
      <w:rFonts w:ascii="Calibri" w:hAnsi="Calibri" w:eastAsia="宋体" w:cs="Arial"/>
      <w:kern w:val="2"/>
      <w:sz w:val="21"/>
      <w:szCs w:val="24"/>
      <w:lang w:val="en-US" w:eastAsia="zh-CN" w:bidi="ar-SA"/>
    </w:rPr>
  </w:style>
  <w:style w:type="paragraph" w:customStyle="1" w:styleId="215">
    <w:name w:val="样式 92 10 磅"/>
    <w:qFormat/>
    <w:uiPriority w:val="0"/>
    <w:pPr>
      <w:widowControl w:val="0"/>
      <w:jc w:val="both"/>
    </w:pPr>
    <w:rPr>
      <w:rFonts w:ascii="Calibri" w:hAnsi="Calibri" w:eastAsia="宋体" w:cs="Arial"/>
      <w:kern w:val="2"/>
      <w:sz w:val="21"/>
      <w:szCs w:val="24"/>
      <w:lang w:val="en-US" w:eastAsia="zh-CN" w:bidi="ar-SA"/>
    </w:rPr>
  </w:style>
  <w:style w:type="paragraph" w:customStyle="1" w:styleId="216">
    <w:name w:val="样式 91 10 磅"/>
    <w:qFormat/>
    <w:uiPriority w:val="0"/>
    <w:pPr>
      <w:widowControl w:val="0"/>
      <w:jc w:val="both"/>
    </w:pPr>
    <w:rPr>
      <w:rFonts w:ascii="Calibri" w:hAnsi="Calibri" w:eastAsia="宋体" w:cs="Arial"/>
      <w:kern w:val="2"/>
      <w:sz w:val="21"/>
      <w:szCs w:val="24"/>
      <w:lang w:val="en-US" w:eastAsia="zh-CN" w:bidi="ar-SA"/>
    </w:rPr>
  </w:style>
  <w:style w:type="paragraph" w:customStyle="1" w:styleId="217">
    <w:name w:val="样式 90 10 磅"/>
    <w:qFormat/>
    <w:uiPriority w:val="0"/>
    <w:pPr>
      <w:widowControl w:val="0"/>
      <w:jc w:val="both"/>
    </w:pPr>
    <w:rPr>
      <w:rFonts w:ascii="Calibri" w:hAnsi="Calibri" w:eastAsia="宋体" w:cs="Arial"/>
      <w:kern w:val="2"/>
      <w:sz w:val="21"/>
      <w:szCs w:val="24"/>
      <w:lang w:val="en-US" w:eastAsia="zh-CN" w:bidi="ar-SA"/>
    </w:rPr>
  </w:style>
  <w:style w:type="paragraph" w:customStyle="1" w:styleId="218">
    <w:name w:val="样式 89 10 磅"/>
    <w:qFormat/>
    <w:uiPriority w:val="0"/>
    <w:pPr>
      <w:widowControl w:val="0"/>
      <w:jc w:val="both"/>
    </w:pPr>
    <w:rPr>
      <w:rFonts w:ascii="Calibri" w:hAnsi="Calibri" w:eastAsia="宋体" w:cs="Arial"/>
      <w:kern w:val="2"/>
      <w:sz w:val="21"/>
      <w:szCs w:val="24"/>
      <w:lang w:val="en-US" w:eastAsia="zh-CN" w:bidi="ar-SA"/>
    </w:rPr>
  </w:style>
  <w:style w:type="paragraph" w:customStyle="1" w:styleId="219">
    <w:name w:val="样式 88 10 磅"/>
    <w:qFormat/>
    <w:uiPriority w:val="0"/>
    <w:pPr>
      <w:widowControl w:val="0"/>
      <w:jc w:val="both"/>
    </w:pPr>
    <w:rPr>
      <w:rFonts w:ascii="Calibri" w:hAnsi="Calibri" w:eastAsia="宋体" w:cs="Arial"/>
      <w:kern w:val="2"/>
      <w:sz w:val="21"/>
      <w:szCs w:val="24"/>
      <w:lang w:val="en-US" w:eastAsia="zh-CN" w:bidi="ar-SA"/>
    </w:rPr>
  </w:style>
  <w:style w:type="paragraph" w:customStyle="1" w:styleId="220">
    <w:name w:val="样式 87 10 磅"/>
    <w:qFormat/>
    <w:uiPriority w:val="0"/>
    <w:pPr>
      <w:widowControl w:val="0"/>
      <w:jc w:val="both"/>
    </w:pPr>
    <w:rPr>
      <w:rFonts w:ascii="Calibri" w:hAnsi="Calibri" w:eastAsia="宋体" w:cs="Arial"/>
      <w:kern w:val="2"/>
      <w:sz w:val="21"/>
      <w:szCs w:val="24"/>
      <w:lang w:val="en-US" w:eastAsia="zh-CN" w:bidi="ar-SA"/>
    </w:rPr>
  </w:style>
  <w:style w:type="paragraph" w:customStyle="1" w:styleId="221">
    <w:name w:val="样式 86 10 磅"/>
    <w:qFormat/>
    <w:uiPriority w:val="0"/>
    <w:pPr>
      <w:widowControl w:val="0"/>
      <w:jc w:val="both"/>
    </w:pPr>
    <w:rPr>
      <w:rFonts w:ascii="Calibri" w:hAnsi="Calibri" w:eastAsia="宋体" w:cs="Arial"/>
      <w:kern w:val="2"/>
      <w:sz w:val="21"/>
      <w:szCs w:val="24"/>
      <w:lang w:val="en-US" w:eastAsia="zh-CN" w:bidi="ar-SA"/>
    </w:rPr>
  </w:style>
  <w:style w:type="paragraph" w:customStyle="1" w:styleId="222">
    <w:name w:val="样式 85 10 磅"/>
    <w:qFormat/>
    <w:uiPriority w:val="0"/>
    <w:pPr>
      <w:widowControl w:val="0"/>
      <w:jc w:val="both"/>
    </w:pPr>
    <w:rPr>
      <w:rFonts w:ascii="Calibri" w:hAnsi="Calibri" w:eastAsia="宋体" w:cs="Arial"/>
      <w:kern w:val="2"/>
      <w:sz w:val="21"/>
      <w:szCs w:val="24"/>
      <w:lang w:val="en-US" w:eastAsia="zh-CN" w:bidi="ar-SA"/>
    </w:rPr>
  </w:style>
  <w:style w:type="paragraph" w:customStyle="1" w:styleId="223">
    <w:name w:val="样式 84 10 磅"/>
    <w:qFormat/>
    <w:uiPriority w:val="0"/>
    <w:pPr>
      <w:widowControl w:val="0"/>
      <w:jc w:val="both"/>
    </w:pPr>
    <w:rPr>
      <w:rFonts w:ascii="Calibri" w:hAnsi="Calibri" w:eastAsia="宋体" w:cs="Arial"/>
      <w:kern w:val="2"/>
      <w:sz w:val="21"/>
      <w:szCs w:val="24"/>
      <w:lang w:val="en-US" w:eastAsia="zh-CN" w:bidi="ar-SA"/>
    </w:rPr>
  </w:style>
  <w:style w:type="paragraph" w:customStyle="1" w:styleId="224">
    <w:name w:val="样式 83 10 磅"/>
    <w:qFormat/>
    <w:uiPriority w:val="0"/>
    <w:pPr>
      <w:widowControl w:val="0"/>
      <w:jc w:val="both"/>
    </w:pPr>
    <w:rPr>
      <w:rFonts w:ascii="Calibri" w:hAnsi="Calibri" w:eastAsia="宋体" w:cs="Arial"/>
      <w:kern w:val="2"/>
      <w:sz w:val="21"/>
      <w:szCs w:val="24"/>
      <w:lang w:val="en-US" w:eastAsia="zh-CN" w:bidi="ar-SA"/>
    </w:rPr>
  </w:style>
  <w:style w:type="paragraph" w:customStyle="1" w:styleId="225">
    <w:name w:val="样式 82 10 磅"/>
    <w:qFormat/>
    <w:uiPriority w:val="0"/>
    <w:pPr>
      <w:widowControl w:val="0"/>
      <w:jc w:val="both"/>
    </w:pPr>
    <w:rPr>
      <w:rFonts w:ascii="Calibri" w:hAnsi="Calibri" w:eastAsia="宋体" w:cs="Arial"/>
      <w:kern w:val="2"/>
      <w:sz w:val="21"/>
      <w:szCs w:val="24"/>
      <w:lang w:val="en-US" w:eastAsia="zh-CN" w:bidi="ar-SA"/>
    </w:rPr>
  </w:style>
  <w:style w:type="paragraph" w:customStyle="1" w:styleId="226">
    <w:name w:val="样式 81 10 磅"/>
    <w:qFormat/>
    <w:uiPriority w:val="0"/>
    <w:pPr>
      <w:widowControl w:val="0"/>
      <w:jc w:val="both"/>
    </w:pPr>
    <w:rPr>
      <w:rFonts w:ascii="Calibri" w:hAnsi="Calibri" w:eastAsia="宋体" w:cs="Arial"/>
      <w:kern w:val="2"/>
      <w:sz w:val="21"/>
      <w:szCs w:val="24"/>
      <w:lang w:val="en-US" w:eastAsia="zh-CN" w:bidi="ar-SA"/>
    </w:rPr>
  </w:style>
  <w:style w:type="paragraph" w:customStyle="1" w:styleId="227">
    <w:name w:val="样式 80 10 磅"/>
    <w:qFormat/>
    <w:uiPriority w:val="0"/>
    <w:pPr>
      <w:widowControl w:val="0"/>
      <w:jc w:val="both"/>
    </w:pPr>
    <w:rPr>
      <w:rFonts w:ascii="Calibri" w:hAnsi="Calibri" w:eastAsia="宋体" w:cs="Arial"/>
      <w:kern w:val="2"/>
      <w:sz w:val="21"/>
      <w:szCs w:val="24"/>
      <w:lang w:val="en-US" w:eastAsia="zh-CN" w:bidi="ar-SA"/>
    </w:rPr>
  </w:style>
  <w:style w:type="paragraph" w:customStyle="1" w:styleId="228">
    <w:name w:val="样式 79 10 磅"/>
    <w:qFormat/>
    <w:uiPriority w:val="0"/>
    <w:pPr>
      <w:widowControl w:val="0"/>
      <w:jc w:val="both"/>
    </w:pPr>
    <w:rPr>
      <w:rFonts w:ascii="Calibri" w:hAnsi="Calibri" w:eastAsia="宋体" w:cs="Arial"/>
      <w:kern w:val="2"/>
      <w:sz w:val="21"/>
      <w:szCs w:val="24"/>
      <w:lang w:val="en-US" w:eastAsia="zh-CN" w:bidi="ar-SA"/>
    </w:rPr>
  </w:style>
  <w:style w:type="paragraph" w:customStyle="1" w:styleId="229">
    <w:name w:val="样式 78 10 磅"/>
    <w:qFormat/>
    <w:uiPriority w:val="0"/>
    <w:pPr>
      <w:widowControl w:val="0"/>
      <w:jc w:val="both"/>
    </w:pPr>
    <w:rPr>
      <w:rFonts w:ascii="Calibri" w:hAnsi="Calibri" w:eastAsia="宋体" w:cs="Arial"/>
      <w:kern w:val="2"/>
      <w:sz w:val="21"/>
      <w:szCs w:val="24"/>
      <w:lang w:val="en-US" w:eastAsia="zh-CN" w:bidi="ar-SA"/>
    </w:rPr>
  </w:style>
  <w:style w:type="paragraph" w:customStyle="1" w:styleId="230">
    <w:name w:val="样式 77 10 磅"/>
    <w:qFormat/>
    <w:uiPriority w:val="0"/>
    <w:pPr>
      <w:widowControl w:val="0"/>
      <w:jc w:val="both"/>
    </w:pPr>
    <w:rPr>
      <w:rFonts w:ascii="Calibri" w:hAnsi="Calibri" w:eastAsia="宋体" w:cs="Arial"/>
      <w:kern w:val="2"/>
      <w:sz w:val="21"/>
      <w:szCs w:val="24"/>
      <w:lang w:val="en-US" w:eastAsia="zh-CN" w:bidi="ar-SA"/>
    </w:rPr>
  </w:style>
  <w:style w:type="paragraph" w:customStyle="1" w:styleId="231">
    <w:name w:val="样式 76 10 磅"/>
    <w:qFormat/>
    <w:uiPriority w:val="0"/>
    <w:pPr>
      <w:widowControl w:val="0"/>
      <w:jc w:val="both"/>
    </w:pPr>
    <w:rPr>
      <w:rFonts w:ascii="Calibri" w:hAnsi="Calibri" w:eastAsia="宋体" w:cs="Arial"/>
      <w:kern w:val="2"/>
      <w:sz w:val="21"/>
      <w:szCs w:val="24"/>
      <w:lang w:val="en-US" w:eastAsia="zh-CN" w:bidi="ar-SA"/>
    </w:rPr>
  </w:style>
  <w:style w:type="paragraph" w:customStyle="1" w:styleId="232">
    <w:name w:val="样式 75 10 磅"/>
    <w:qFormat/>
    <w:uiPriority w:val="0"/>
    <w:pPr>
      <w:widowControl w:val="0"/>
      <w:jc w:val="both"/>
    </w:pPr>
    <w:rPr>
      <w:rFonts w:ascii="Calibri" w:hAnsi="Calibri" w:eastAsia="宋体" w:cs="Arial"/>
      <w:kern w:val="2"/>
      <w:sz w:val="21"/>
      <w:szCs w:val="24"/>
      <w:lang w:val="en-US" w:eastAsia="zh-CN" w:bidi="ar-SA"/>
    </w:rPr>
  </w:style>
  <w:style w:type="paragraph" w:customStyle="1" w:styleId="233">
    <w:name w:val="样式 74 10 磅"/>
    <w:qFormat/>
    <w:uiPriority w:val="0"/>
    <w:pPr>
      <w:widowControl w:val="0"/>
      <w:jc w:val="both"/>
    </w:pPr>
    <w:rPr>
      <w:rFonts w:ascii="Calibri" w:hAnsi="Calibri" w:eastAsia="宋体" w:cs="Arial"/>
      <w:kern w:val="2"/>
      <w:sz w:val="21"/>
      <w:szCs w:val="24"/>
      <w:lang w:val="en-US" w:eastAsia="zh-CN" w:bidi="ar-SA"/>
    </w:rPr>
  </w:style>
  <w:style w:type="paragraph" w:customStyle="1" w:styleId="234">
    <w:name w:val="样式 73 10 磅"/>
    <w:qFormat/>
    <w:uiPriority w:val="0"/>
    <w:pPr>
      <w:widowControl w:val="0"/>
      <w:jc w:val="both"/>
    </w:pPr>
    <w:rPr>
      <w:rFonts w:ascii="Calibri" w:hAnsi="Calibri" w:eastAsia="宋体" w:cs="Arial"/>
      <w:kern w:val="2"/>
      <w:sz w:val="21"/>
      <w:szCs w:val="24"/>
      <w:lang w:val="en-US" w:eastAsia="zh-CN" w:bidi="ar-SA"/>
    </w:rPr>
  </w:style>
  <w:style w:type="paragraph" w:customStyle="1" w:styleId="235">
    <w:name w:val="样式 298 10 磅"/>
    <w:qFormat/>
    <w:uiPriority w:val="0"/>
    <w:pPr>
      <w:widowControl w:val="0"/>
      <w:jc w:val="both"/>
    </w:pPr>
    <w:rPr>
      <w:rFonts w:ascii="Calibri" w:hAnsi="Calibri" w:eastAsia="宋体" w:cs="Arial"/>
      <w:kern w:val="2"/>
      <w:sz w:val="21"/>
      <w:szCs w:val="24"/>
      <w:lang w:val="en-US" w:eastAsia="zh-CN" w:bidi="ar-SA"/>
    </w:rPr>
  </w:style>
  <w:style w:type="paragraph" w:customStyle="1" w:styleId="236">
    <w:name w:val="样式 297 10 磅"/>
    <w:qFormat/>
    <w:uiPriority w:val="0"/>
    <w:pPr>
      <w:widowControl w:val="0"/>
      <w:jc w:val="both"/>
    </w:pPr>
    <w:rPr>
      <w:rFonts w:ascii="Calibri" w:hAnsi="Calibri" w:eastAsia="宋体" w:cs="Arial"/>
      <w:kern w:val="2"/>
      <w:sz w:val="21"/>
      <w:szCs w:val="24"/>
      <w:lang w:val="en-US" w:eastAsia="zh-CN" w:bidi="ar-SA"/>
    </w:rPr>
  </w:style>
  <w:style w:type="paragraph" w:customStyle="1" w:styleId="237">
    <w:name w:val="样式 296 10 磅"/>
    <w:qFormat/>
    <w:uiPriority w:val="0"/>
    <w:pPr>
      <w:widowControl w:val="0"/>
      <w:jc w:val="both"/>
    </w:pPr>
    <w:rPr>
      <w:rFonts w:ascii="Calibri" w:hAnsi="Calibri" w:eastAsia="宋体" w:cs="Arial"/>
      <w:kern w:val="2"/>
      <w:sz w:val="21"/>
      <w:szCs w:val="24"/>
      <w:lang w:val="en-US" w:eastAsia="zh-CN" w:bidi="ar-SA"/>
    </w:rPr>
  </w:style>
  <w:style w:type="paragraph" w:customStyle="1" w:styleId="238">
    <w:name w:val="样式 295 10 磅"/>
    <w:qFormat/>
    <w:uiPriority w:val="0"/>
    <w:pPr>
      <w:widowControl w:val="0"/>
      <w:jc w:val="both"/>
    </w:pPr>
    <w:rPr>
      <w:rFonts w:ascii="Calibri" w:hAnsi="Calibri" w:eastAsia="宋体" w:cs="Arial"/>
      <w:kern w:val="2"/>
      <w:sz w:val="21"/>
      <w:szCs w:val="24"/>
      <w:lang w:val="en-US" w:eastAsia="zh-CN" w:bidi="ar-SA"/>
    </w:rPr>
  </w:style>
  <w:style w:type="paragraph" w:customStyle="1" w:styleId="239">
    <w:name w:val="样式 294 10 磅"/>
    <w:qFormat/>
    <w:uiPriority w:val="0"/>
    <w:pPr>
      <w:widowControl w:val="0"/>
      <w:jc w:val="both"/>
    </w:pPr>
    <w:rPr>
      <w:rFonts w:ascii="Calibri" w:hAnsi="Calibri" w:eastAsia="宋体" w:cs="Arial"/>
      <w:kern w:val="2"/>
      <w:sz w:val="21"/>
      <w:szCs w:val="24"/>
      <w:lang w:val="en-US" w:eastAsia="zh-CN" w:bidi="ar-SA"/>
    </w:rPr>
  </w:style>
  <w:style w:type="paragraph" w:customStyle="1" w:styleId="240">
    <w:name w:val="样式 293 10 磅"/>
    <w:qFormat/>
    <w:uiPriority w:val="0"/>
    <w:pPr>
      <w:widowControl w:val="0"/>
      <w:jc w:val="both"/>
    </w:pPr>
    <w:rPr>
      <w:rFonts w:ascii="Calibri" w:hAnsi="Calibri" w:eastAsia="宋体" w:cs="Arial"/>
      <w:kern w:val="2"/>
      <w:sz w:val="21"/>
      <w:szCs w:val="24"/>
      <w:lang w:val="en-US" w:eastAsia="zh-CN" w:bidi="ar-SA"/>
    </w:rPr>
  </w:style>
  <w:style w:type="paragraph" w:customStyle="1" w:styleId="241">
    <w:name w:val="样式 292 10 磅"/>
    <w:qFormat/>
    <w:uiPriority w:val="0"/>
    <w:pPr>
      <w:widowControl w:val="0"/>
      <w:jc w:val="both"/>
    </w:pPr>
    <w:rPr>
      <w:rFonts w:ascii="Calibri" w:hAnsi="Calibri" w:eastAsia="宋体" w:cs="Arial"/>
      <w:kern w:val="2"/>
      <w:sz w:val="21"/>
      <w:szCs w:val="24"/>
      <w:lang w:val="en-US" w:eastAsia="zh-CN" w:bidi="ar-SA"/>
    </w:rPr>
  </w:style>
  <w:style w:type="paragraph" w:customStyle="1" w:styleId="242">
    <w:name w:val="样式 291 10 磅"/>
    <w:qFormat/>
    <w:uiPriority w:val="0"/>
    <w:pPr>
      <w:widowControl w:val="0"/>
      <w:jc w:val="both"/>
    </w:pPr>
    <w:rPr>
      <w:rFonts w:ascii="Calibri" w:hAnsi="Calibri" w:eastAsia="宋体" w:cs="Arial"/>
      <w:kern w:val="2"/>
      <w:sz w:val="21"/>
      <w:szCs w:val="24"/>
      <w:lang w:val="en-US" w:eastAsia="zh-CN" w:bidi="ar-SA"/>
    </w:rPr>
  </w:style>
  <w:style w:type="paragraph" w:customStyle="1" w:styleId="243">
    <w:name w:val="样式 290 10 磅"/>
    <w:qFormat/>
    <w:uiPriority w:val="0"/>
    <w:pPr>
      <w:widowControl w:val="0"/>
      <w:jc w:val="both"/>
    </w:pPr>
    <w:rPr>
      <w:rFonts w:ascii="Calibri" w:hAnsi="Calibri" w:eastAsia="宋体" w:cs="Arial"/>
      <w:kern w:val="2"/>
      <w:sz w:val="21"/>
      <w:szCs w:val="24"/>
      <w:lang w:val="en-US" w:eastAsia="zh-CN" w:bidi="ar-SA"/>
    </w:rPr>
  </w:style>
  <w:style w:type="paragraph" w:customStyle="1" w:styleId="244">
    <w:name w:val="样式 289 10 磅"/>
    <w:qFormat/>
    <w:uiPriority w:val="0"/>
    <w:pPr>
      <w:widowControl w:val="0"/>
      <w:jc w:val="both"/>
    </w:pPr>
    <w:rPr>
      <w:rFonts w:ascii="Calibri" w:hAnsi="Calibri" w:eastAsia="宋体" w:cs="Arial"/>
      <w:kern w:val="2"/>
      <w:sz w:val="21"/>
      <w:szCs w:val="24"/>
      <w:lang w:val="en-US" w:eastAsia="zh-CN" w:bidi="ar-SA"/>
    </w:rPr>
  </w:style>
  <w:style w:type="paragraph" w:customStyle="1" w:styleId="245">
    <w:name w:val="样式 288 10 磅"/>
    <w:qFormat/>
    <w:uiPriority w:val="0"/>
    <w:pPr>
      <w:widowControl w:val="0"/>
      <w:jc w:val="both"/>
    </w:pPr>
    <w:rPr>
      <w:rFonts w:ascii="Calibri" w:hAnsi="Calibri" w:eastAsia="宋体" w:cs="Arial"/>
      <w:kern w:val="2"/>
      <w:sz w:val="21"/>
      <w:szCs w:val="24"/>
      <w:lang w:val="en-US" w:eastAsia="zh-CN" w:bidi="ar-SA"/>
    </w:rPr>
  </w:style>
  <w:style w:type="paragraph" w:customStyle="1" w:styleId="246">
    <w:name w:val="样式 287 10 磅"/>
    <w:qFormat/>
    <w:uiPriority w:val="0"/>
    <w:pPr>
      <w:widowControl w:val="0"/>
      <w:jc w:val="both"/>
    </w:pPr>
    <w:rPr>
      <w:rFonts w:ascii="Calibri" w:hAnsi="Calibri" w:eastAsia="宋体" w:cs="Arial"/>
      <w:kern w:val="2"/>
      <w:sz w:val="21"/>
      <w:szCs w:val="24"/>
      <w:lang w:val="en-US" w:eastAsia="zh-CN" w:bidi="ar-SA"/>
    </w:rPr>
  </w:style>
  <w:style w:type="paragraph" w:customStyle="1" w:styleId="247">
    <w:name w:val="样式 286 10 磅"/>
    <w:qFormat/>
    <w:uiPriority w:val="0"/>
    <w:pPr>
      <w:widowControl w:val="0"/>
      <w:jc w:val="both"/>
    </w:pPr>
    <w:rPr>
      <w:rFonts w:ascii="Calibri" w:hAnsi="Calibri" w:eastAsia="宋体" w:cs="Arial"/>
      <w:kern w:val="2"/>
      <w:sz w:val="21"/>
      <w:szCs w:val="24"/>
      <w:lang w:val="en-US" w:eastAsia="zh-CN" w:bidi="ar-SA"/>
    </w:rPr>
  </w:style>
  <w:style w:type="paragraph" w:customStyle="1" w:styleId="248">
    <w:name w:val="样式 285 10 磅"/>
    <w:qFormat/>
    <w:uiPriority w:val="0"/>
    <w:pPr>
      <w:widowControl w:val="0"/>
      <w:jc w:val="both"/>
    </w:pPr>
    <w:rPr>
      <w:rFonts w:ascii="Calibri" w:hAnsi="Calibri" w:eastAsia="宋体" w:cs="Arial"/>
      <w:kern w:val="2"/>
      <w:sz w:val="21"/>
      <w:szCs w:val="24"/>
      <w:lang w:val="en-US" w:eastAsia="zh-CN" w:bidi="ar-SA"/>
    </w:rPr>
  </w:style>
  <w:style w:type="paragraph" w:customStyle="1" w:styleId="249">
    <w:name w:val="样式 284 10 磅"/>
    <w:qFormat/>
    <w:uiPriority w:val="0"/>
    <w:pPr>
      <w:widowControl w:val="0"/>
      <w:jc w:val="both"/>
    </w:pPr>
    <w:rPr>
      <w:rFonts w:ascii="Calibri" w:hAnsi="Calibri" w:eastAsia="宋体" w:cs="Arial"/>
      <w:kern w:val="2"/>
      <w:sz w:val="21"/>
      <w:szCs w:val="24"/>
      <w:lang w:val="en-US" w:eastAsia="zh-CN" w:bidi="ar-SA"/>
    </w:rPr>
  </w:style>
  <w:style w:type="paragraph" w:customStyle="1" w:styleId="250">
    <w:name w:val="样式 283 10 磅"/>
    <w:qFormat/>
    <w:uiPriority w:val="0"/>
    <w:pPr>
      <w:widowControl w:val="0"/>
      <w:jc w:val="both"/>
    </w:pPr>
    <w:rPr>
      <w:rFonts w:ascii="Calibri" w:hAnsi="Calibri" w:eastAsia="宋体" w:cs="Arial"/>
      <w:kern w:val="2"/>
      <w:sz w:val="21"/>
      <w:szCs w:val="24"/>
      <w:lang w:val="en-US" w:eastAsia="zh-CN" w:bidi="ar-SA"/>
    </w:rPr>
  </w:style>
  <w:style w:type="paragraph" w:customStyle="1" w:styleId="251">
    <w:name w:val="样式 282 10 磅"/>
    <w:qFormat/>
    <w:uiPriority w:val="0"/>
    <w:pPr>
      <w:widowControl w:val="0"/>
      <w:jc w:val="both"/>
    </w:pPr>
    <w:rPr>
      <w:rFonts w:ascii="Calibri" w:hAnsi="Calibri" w:eastAsia="宋体" w:cs="Arial"/>
      <w:kern w:val="2"/>
      <w:sz w:val="21"/>
      <w:szCs w:val="24"/>
      <w:lang w:val="en-US" w:eastAsia="zh-CN" w:bidi="ar-SA"/>
    </w:rPr>
  </w:style>
  <w:style w:type="paragraph" w:customStyle="1" w:styleId="252">
    <w:name w:val="样式 281 10 磅"/>
    <w:qFormat/>
    <w:uiPriority w:val="0"/>
    <w:pPr>
      <w:widowControl w:val="0"/>
      <w:jc w:val="both"/>
    </w:pPr>
    <w:rPr>
      <w:rFonts w:ascii="Calibri" w:hAnsi="Calibri" w:eastAsia="宋体" w:cs="Arial"/>
      <w:kern w:val="2"/>
      <w:sz w:val="21"/>
      <w:szCs w:val="24"/>
      <w:lang w:val="en-US" w:eastAsia="zh-CN" w:bidi="ar-SA"/>
    </w:rPr>
  </w:style>
  <w:style w:type="paragraph" w:customStyle="1" w:styleId="253">
    <w:name w:val="样式 280 10 磅"/>
    <w:qFormat/>
    <w:uiPriority w:val="0"/>
    <w:pPr>
      <w:widowControl w:val="0"/>
      <w:jc w:val="both"/>
    </w:pPr>
    <w:rPr>
      <w:rFonts w:ascii="Calibri" w:hAnsi="Calibri" w:eastAsia="宋体" w:cs="Arial"/>
      <w:kern w:val="2"/>
      <w:sz w:val="21"/>
      <w:szCs w:val="24"/>
      <w:lang w:val="en-US" w:eastAsia="zh-CN" w:bidi="ar-SA"/>
    </w:rPr>
  </w:style>
  <w:style w:type="paragraph" w:customStyle="1" w:styleId="254">
    <w:name w:val="样式 279 10 磅"/>
    <w:qFormat/>
    <w:uiPriority w:val="0"/>
    <w:pPr>
      <w:widowControl w:val="0"/>
      <w:jc w:val="both"/>
    </w:pPr>
    <w:rPr>
      <w:rFonts w:ascii="Calibri" w:hAnsi="Calibri" w:eastAsia="宋体" w:cs="Arial"/>
      <w:kern w:val="2"/>
      <w:sz w:val="21"/>
      <w:szCs w:val="24"/>
      <w:lang w:val="en-US" w:eastAsia="zh-CN" w:bidi="ar-SA"/>
    </w:rPr>
  </w:style>
  <w:style w:type="paragraph" w:customStyle="1" w:styleId="255">
    <w:name w:val="样式 278 10 磅"/>
    <w:qFormat/>
    <w:uiPriority w:val="0"/>
    <w:pPr>
      <w:widowControl w:val="0"/>
      <w:jc w:val="both"/>
    </w:pPr>
    <w:rPr>
      <w:rFonts w:ascii="Calibri" w:hAnsi="Calibri" w:eastAsia="宋体" w:cs="Arial"/>
      <w:kern w:val="2"/>
      <w:sz w:val="21"/>
      <w:szCs w:val="24"/>
      <w:lang w:val="en-US" w:eastAsia="zh-CN" w:bidi="ar-SA"/>
    </w:rPr>
  </w:style>
  <w:style w:type="paragraph" w:customStyle="1" w:styleId="256">
    <w:name w:val="样式 277 10 磅"/>
    <w:qFormat/>
    <w:uiPriority w:val="0"/>
    <w:pPr>
      <w:widowControl w:val="0"/>
      <w:jc w:val="both"/>
    </w:pPr>
    <w:rPr>
      <w:rFonts w:ascii="Calibri" w:hAnsi="Calibri" w:eastAsia="宋体" w:cs="Arial"/>
      <w:kern w:val="2"/>
      <w:sz w:val="21"/>
      <w:szCs w:val="24"/>
      <w:lang w:val="en-US" w:eastAsia="zh-CN" w:bidi="ar-SA"/>
    </w:rPr>
  </w:style>
  <w:style w:type="paragraph" w:customStyle="1" w:styleId="257">
    <w:name w:val="样式 276 10 磅"/>
    <w:qFormat/>
    <w:uiPriority w:val="0"/>
    <w:pPr>
      <w:widowControl w:val="0"/>
      <w:jc w:val="both"/>
    </w:pPr>
    <w:rPr>
      <w:rFonts w:ascii="Calibri" w:hAnsi="Calibri" w:eastAsia="宋体" w:cs="Arial"/>
      <w:kern w:val="2"/>
      <w:sz w:val="21"/>
      <w:szCs w:val="24"/>
      <w:lang w:val="en-US" w:eastAsia="zh-CN" w:bidi="ar-SA"/>
    </w:rPr>
  </w:style>
  <w:style w:type="paragraph" w:customStyle="1" w:styleId="258">
    <w:name w:val="样式 275 10 磅"/>
    <w:qFormat/>
    <w:uiPriority w:val="0"/>
    <w:pPr>
      <w:widowControl w:val="0"/>
      <w:jc w:val="both"/>
    </w:pPr>
    <w:rPr>
      <w:rFonts w:ascii="Calibri" w:hAnsi="Calibri" w:eastAsia="宋体" w:cs="Arial"/>
      <w:kern w:val="2"/>
      <w:sz w:val="21"/>
      <w:szCs w:val="24"/>
      <w:lang w:val="en-US" w:eastAsia="zh-CN" w:bidi="ar-SA"/>
    </w:rPr>
  </w:style>
  <w:style w:type="paragraph" w:customStyle="1" w:styleId="259">
    <w:name w:val="样式 274 10 磅"/>
    <w:qFormat/>
    <w:uiPriority w:val="0"/>
    <w:pPr>
      <w:widowControl w:val="0"/>
      <w:jc w:val="both"/>
    </w:pPr>
    <w:rPr>
      <w:rFonts w:ascii="Calibri" w:hAnsi="Calibri" w:eastAsia="宋体" w:cs="Arial"/>
      <w:kern w:val="2"/>
      <w:sz w:val="21"/>
      <w:szCs w:val="24"/>
      <w:lang w:val="en-US" w:eastAsia="zh-CN" w:bidi="ar-SA"/>
    </w:rPr>
  </w:style>
  <w:style w:type="paragraph" w:customStyle="1" w:styleId="260">
    <w:name w:val="样式 273 10 磅"/>
    <w:qFormat/>
    <w:uiPriority w:val="0"/>
    <w:pPr>
      <w:widowControl w:val="0"/>
      <w:jc w:val="both"/>
    </w:pPr>
    <w:rPr>
      <w:rFonts w:ascii="Calibri" w:hAnsi="Calibri" w:eastAsia="宋体" w:cs="Arial"/>
      <w:kern w:val="2"/>
      <w:sz w:val="21"/>
      <w:szCs w:val="24"/>
      <w:lang w:val="en-US" w:eastAsia="zh-CN" w:bidi="ar-SA"/>
    </w:rPr>
  </w:style>
  <w:style w:type="paragraph" w:customStyle="1" w:styleId="261">
    <w:name w:val="样式 272 10 磅"/>
    <w:qFormat/>
    <w:uiPriority w:val="0"/>
    <w:pPr>
      <w:widowControl w:val="0"/>
      <w:jc w:val="both"/>
    </w:pPr>
    <w:rPr>
      <w:rFonts w:ascii="Calibri" w:hAnsi="Calibri" w:eastAsia="宋体" w:cs="Arial"/>
      <w:kern w:val="2"/>
      <w:sz w:val="21"/>
      <w:szCs w:val="24"/>
      <w:lang w:val="en-US" w:eastAsia="zh-CN" w:bidi="ar-SA"/>
    </w:rPr>
  </w:style>
  <w:style w:type="paragraph" w:customStyle="1" w:styleId="262">
    <w:name w:val="样式 271 10 磅"/>
    <w:qFormat/>
    <w:uiPriority w:val="0"/>
    <w:pPr>
      <w:widowControl w:val="0"/>
      <w:jc w:val="both"/>
    </w:pPr>
    <w:rPr>
      <w:rFonts w:ascii="Calibri" w:hAnsi="Calibri" w:eastAsia="宋体" w:cs="Arial"/>
      <w:kern w:val="2"/>
      <w:sz w:val="21"/>
      <w:szCs w:val="24"/>
      <w:lang w:val="en-US" w:eastAsia="zh-CN" w:bidi="ar-SA"/>
    </w:rPr>
  </w:style>
  <w:style w:type="paragraph" w:customStyle="1" w:styleId="263">
    <w:name w:val="样式 270 10 磅"/>
    <w:qFormat/>
    <w:uiPriority w:val="0"/>
    <w:pPr>
      <w:widowControl w:val="0"/>
      <w:jc w:val="both"/>
    </w:pPr>
    <w:rPr>
      <w:rFonts w:ascii="Calibri" w:hAnsi="Calibri" w:eastAsia="宋体" w:cs="Arial"/>
      <w:kern w:val="2"/>
      <w:sz w:val="21"/>
      <w:szCs w:val="24"/>
      <w:lang w:val="en-US" w:eastAsia="zh-CN" w:bidi="ar-SA"/>
    </w:rPr>
  </w:style>
  <w:style w:type="paragraph" w:customStyle="1" w:styleId="264">
    <w:name w:val="样式 269 10 磅"/>
    <w:qFormat/>
    <w:uiPriority w:val="0"/>
    <w:pPr>
      <w:widowControl w:val="0"/>
      <w:jc w:val="both"/>
    </w:pPr>
    <w:rPr>
      <w:rFonts w:ascii="Calibri" w:hAnsi="Calibri" w:eastAsia="宋体" w:cs="Arial"/>
      <w:kern w:val="2"/>
      <w:sz w:val="21"/>
      <w:szCs w:val="24"/>
      <w:lang w:val="en-US" w:eastAsia="zh-CN" w:bidi="ar-SA"/>
    </w:rPr>
  </w:style>
  <w:style w:type="paragraph" w:customStyle="1" w:styleId="265">
    <w:name w:val="样式 268 10 磅"/>
    <w:qFormat/>
    <w:uiPriority w:val="0"/>
    <w:pPr>
      <w:widowControl w:val="0"/>
      <w:jc w:val="both"/>
    </w:pPr>
    <w:rPr>
      <w:rFonts w:ascii="Calibri" w:hAnsi="Calibri" w:eastAsia="宋体" w:cs="Arial"/>
      <w:kern w:val="2"/>
      <w:sz w:val="21"/>
      <w:szCs w:val="24"/>
      <w:lang w:val="en-US" w:eastAsia="zh-CN" w:bidi="ar-SA"/>
    </w:rPr>
  </w:style>
  <w:style w:type="paragraph" w:customStyle="1" w:styleId="266">
    <w:name w:val="样式 267 10 磅"/>
    <w:qFormat/>
    <w:uiPriority w:val="0"/>
    <w:pPr>
      <w:widowControl w:val="0"/>
      <w:jc w:val="both"/>
    </w:pPr>
    <w:rPr>
      <w:rFonts w:ascii="Calibri" w:hAnsi="Calibri" w:eastAsia="宋体" w:cs="Arial"/>
      <w:kern w:val="2"/>
      <w:sz w:val="21"/>
      <w:szCs w:val="24"/>
      <w:lang w:val="en-US" w:eastAsia="zh-CN" w:bidi="ar-SA"/>
    </w:rPr>
  </w:style>
  <w:style w:type="paragraph" w:customStyle="1" w:styleId="267">
    <w:name w:val="样式 266 10 磅"/>
    <w:qFormat/>
    <w:uiPriority w:val="0"/>
    <w:pPr>
      <w:widowControl w:val="0"/>
      <w:jc w:val="both"/>
    </w:pPr>
    <w:rPr>
      <w:rFonts w:ascii="Calibri" w:hAnsi="Calibri" w:eastAsia="宋体" w:cs="Arial"/>
      <w:kern w:val="2"/>
      <w:sz w:val="21"/>
      <w:szCs w:val="24"/>
      <w:lang w:val="en-US" w:eastAsia="zh-CN" w:bidi="ar-SA"/>
    </w:rPr>
  </w:style>
  <w:style w:type="paragraph" w:customStyle="1" w:styleId="268">
    <w:name w:val="样式 265 10 磅"/>
    <w:qFormat/>
    <w:uiPriority w:val="0"/>
    <w:pPr>
      <w:widowControl w:val="0"/>
      <w:jc w:val="both"/>
    </w:pPr>
    <w:rPr>
      <w:rFonts w:ascii="Calibri" w:hAnsi="Calibri" w:eastAsia="宋体" w:cs="Arial"/>
      <w:kern w:val="2"/>
      <w:sz w:val="21"/>
      <w:szCs w:val="24"/>
      <w:lang w:val="en-US" w:eastAsia="zh-CN" w:bidi="ar-SA"/>
    </w:rPr>
  </w:style>
  <w:style w:type="paragraph" w:customStyle="1" w:styleId="269">
    <w:name w:val="样式 264 10 磅"/>
    <w:qFormat/>
    <w:uiPriority w:val="0"/>
    <w:pPr>
      <w:widowControl w:val="0"/>
      <w:jc w:val="both"/>
    </w:pPr>
    <w:rPr>
      <w:rFonts w:ascii="Calibri" w:hAnsi="Calibri" w:eastAsia="宋体" w:cs="Arial"/>
      <w:kern w:val="2"/>
      <w:sz w:val="21"/>
      <w:szCs w:val="24"/>
      <w:lang w:val="en-US" w:eastAsia="zh-CN" w:bidi="ar-SA"/>
    </w:rPr>
  </w:style>
  <w:style w:type="paragraph" w:customStyle="1" w:styleId="270">
    <w:name w:val="样式 263 10 磅"/>
    <w:qFormat/>
    <w:uiPriority w:val="0"/>
    <w:pPr>
      <w:widowControl w:val="0"/>
      <w:jc w:val="both"/>
    </w:pPr>
    <w:rPr>
      <w:rFonts w:ascii="Calibri" w:hAnsi="Calibri" w:eastAsia="宋体" w:cs="Arial"/>
      <w:kern w:val="2"/>
      <w:sz w:val="21"/>
      <w:szCs w:val="24"/>
      <w:lang w:val="en-US" w:eastAsia="zh-CN" w:bidi="ar-SA"/>
    </w:rPr>
  </w:style>
  <w:style w:type="paragraph" w:customStyle="1" w:styleId="271">
    <w:name w:val="样式 262 10 磅"/>
    <w:qFormat/>
    <w:uiPriority w:val="0"/>
    <w:pPr>
      <w:widowControl w:val="0"/>
      <w:jc w:val="both"/>
    </w:pPr>
    <w:rPr>
      <w:rFonts w:ascii="Calibri" w:hAnsi="Calibri" w:eastAsia="宋体" w:cs="Arial"/>
      <w:kern w:val="2"/>
      <w:sz w:val="21"/>
      <w:szCs w:val="24"/>
      <w:lang w:val="en-US" w:eastAsia="zh-CN" w:bidi="ar-SA"/>
    </w:rPr>
  </w:style>
  <w:style w:type="paragraph" w:customStyle="1" w:styleId="272">
    <w:name w:val="样式 261 10 磅"/>
    <w:qFormat/>
    <w:uiPriority w:val="0"/>
    <w:pPr>
      <w:widowControl w:val="0"/>
      <w:jc w:val="both"/>
    </w:pPr>
    <w:rPr>
      <w:rFonts w:ascii="Calibri" w:hAnsi="Calibri" w:eastAsia="宋体" w:cs="Arial"/>
      <w:kern w:val="2"/>
      <w:sz w:val="21"/>
      <w:szCs w:val="24"/>
      <w:lang w:val="en-US" w:eastAsia="zh-CN" w:bidi="ar-SA"/>
    </w:rPr>
  </w:style>
  <w:style w:type="paragraph" w:customStyle="1" w:styleId="273">
    <w:name w:val="样式 260 10 磅"/>
    <w:qFormat/>
    <w:uiPriority w:val="0"/>
    <w:pPr>
      <w:widowControl w:val="0"/>
      <w:jc w:val="both"/>
    </w:pPr>
    <w:rPr>
      <w:rFonts w:ascii="Calibri" w:hAnsi="Calibri" w:eastAsia="宋体" w:cs="Arial"/>
      <w:kern w:val="2"/>
      <w:sz w:val="21"/>
      <w:szCs w:val="24"/>
      <w:lang w:val="en-US" w:eastAsia="zh-CN" w:bidi="ar-SA"/>
    </w:rPr>
  </w:style>
  <w:style w:type="paragraph" w:customStyle="1" w:styleId="274">
    <w:name w:val="样式 259 10 磅"/>
    <w:qFormat/>
    <w:uiPriority w:val="0"/>
    <w:pPr>
      <w:widowControl w:val="0"/>
      <w:jc w:val="both"/>
    </w:pPr>
    <w:rPr>
      <w:rFonts w:ascii="Calibri" w:hAnsi="Calibri" w:eastAsia="宋体" w:cs="Arial"/>
      <w:kern w:val="2"/>
      <w:sz w:val="21"/>
      <w:szCs w:val="24"/>
      <w:lang w:val="en-US" w:eastAsia="zh-CN" w:bidi="ar-SA"/>
    </w:rPr>
  </w:style>
  <w:style w:type="paragraph" w:customStyle="1" w:styleId="275">
    <w:name w:val="样式 258 10 磅"/>
    <w:qFormat/>
    <w:uiPriority w:val="0"/>
    <w:pPr>
      <w:widowControl w:val="0"/>
      <w:jc w:val="both"/>
    </w:pPr>
    <w:rPr>
      <w:rFonts w:ascii="Calibri" w:hAnsi="Calibri" w:eastAsia="宋体" w:cs="Arial"/>
      <w:kern w:val="2"/>
      <w:sz w:val="21"/>
      <w:szCs w:val="24"/>
      <w:lang w:val="en-US" w:eastAsia="zh-CN" w:bidi="ar-SA"/>
    </w:rPr>
  </w:style>
  <w:style w:type="paragraph" w:customStyle="1" w:styleId="276">
    <w:name w:val="样式 257 10 磅"/>
    <w:qFormat/>
    <w:uiPriority w:val="0"/>
    <w:pPr>
      <w:widowControl w:val="0"/>
      <w:jc w:val="both"/>
    </w:pPr>
    <w:rPr>
      <w:rFonts w:ascii="Calibri" w:hAnsi="Calibri" w:eastAsia="宋体" w:cs="Arial"/>
      <w:kern w:val="2"/>
      <w:sz w:val="21"/>
      <w:szCs w:val="24"/>
      <w:lang w:val="en-US" w:eastAsia="zh-CN" w:bidi="ar-SA"/>
    </w:rPr>
  </w:style>
  <w:style w:type="paragraph" w:customStyle="1" w:styleId="277">
    <w:name w:val="样式 256 10 磅"/>
    <w:qFormat/>
    <w:uiPriority w:val="0"/>
    <w:pPr>
      <w:widowControl w:val="0"/>
      <w:jc w:val="both"/>
    </w:pPr>
    <w:rPr>
      <w:rFonts w:ascii="Calibri" w:hAnsi="Calibri" w:eastAsia="宋体" w:cs="Arial"/>
      <w:kern w:val="2"/>
      <w:sz w:val="21"/>
      <w:szCs w:val="24"/>
      <w:lang w:val="en-US" w:eastAsia="zh-CN" w:bidi="ar-SA"/>
    </w:rPr>
  </w:style>
  <w:style w:type="paragraph" w:customStyle="1" w:styleId="278">
    <w:name w:val="样式 255 10 磅"/>
    <w:qFormat/>
    <w:uiPriority w:val="0"/>
    <w:pPr>
      <w:widowControl w:val="0"/>
      <w:jc w:val="both"/>
    </w:pPr>
    <w:rPr>
      <w:rFonts w:ascii="Calibri" w:hAnsi="Calibri" w:eastAsia="宋体" w:cs="Arial"/>
      <w:kern w:val="2"/>
      <w:sz w:val="21"/>
      <w:szCs w:val="24"/>
      <w:lang w:val="en-US" w:eastAsia="zh-CN" w:bidi="ar-SA"/>
    </w:rPr>
  </w:style>
  <w:style w:type="paragraph" w:customStyle="1" w:styleId="279">
    <w:name w:val="样式 254 10 磅"/>
    <w:qFormat/>
    <w:uiPriority w:val="0"/>
    <w:pPr>
      <w:widowControl w:val="0"/>
      <w:jc w:val="both"/>
    </w:pPr>
    <w:rPr>
      <w:rFonts w:ascii="Calibri" w:hAnsi="Calibri" w:eastAsia="宋体" w:cs="Arial"/>
      <w:kern w:val="2"/>
      <w:sz w:val="21"/>
      <w:szCs w:val="24"/>
      <w:lang w:val="en-US" w:eastAsia="zh-CN" w:bidi="ar-SA"/>
    </w:rPr>
  </w:style>
  <w:style w:type="paragraph" w:customStyle="1" w:styleId="280">
    <w:name w:val="样式 253 10 磅"/>
    <w:qFormat/>
    <w:uiPriority w:val="0"/>
    <w:pPr>
      <w:widowControl w:val="0"/>
      <w:jc w:val="both"/>
    </w:pPr>
    <w:rPr>
      <w:rFonts w:ascii="Calibri" w:hAnsi="Calibri" w:eastAsia="宋体" w:cs="Arial"/>
      <w:kern w:val="2"/>
      <w:sz w:val="21"/>
      <w:szCs w:val="24"/>
      <w:lang w:val="en-US" w:eastAsia="zh-CN" w:bidi="ar-SA"/>
    </w:rPr>
  </w:style>
  <w:style w:type="paragraph" w:customStyle="1" w:styleId="281">
    <w:name w:val="样式 252 10 磅"/>
    <w:qFormat/>
    <w:uiPriority w:val="0"/>
    <w:pPr>
      <w:widowControl w:val="0"/>
      <w:jc w:val="both"/>
    </w:pPr>
    <w:rPr>
      <w:rFonts w:ascii="Calibri" w:hAnsi="Calibri" w:eastAsia="宋体" w:cs="Arial"/>
      <w:kern w:val="2"/>
      <w:sz w:val="21"/>
      <w:szCs w:val="24"/>
      <w:lang w:val="en-US" w:eastAsia="zh-CN" w:bidi="ar-SA"/>
    </w:rPr>
  </w:style>
  <w:style w:type="paragraph" w:customStyle="1" w:styleId="282">
    <w:name w:val="样式 251 10 磅"/>
    <w:qFormat/>
    <w:uiPriority w:val="0"/>
    <w:pPr>
      <w:widowControl w:val="0"/>
      <w:jc w:val="both"/>
    </w:pPr>
    <w:rPr>
      <w:rFonts w:ascii="Calibri" w:hAnsi="Calibri" w:eastAsia="宋体" w:cs="Arial"/>
      <w:kern w:val="2"/>
      <w:sz w:val="21"/>
      <w:szCs w:val="24"/>
      <w:lang w:val="en-US" w:eastAsia="zh-CN" w:bidi="ar-SA"/>
    </w:rPr>
  </w:style>
  <w:style w:type="paragraph" w:customStyle="1" w:styleId="283">
    <w:name w:val="样式 250 10 磅"/>
    <w:qFormat/>
    <w:uiPriority w:val="0"/>
    <w:pPr>
      <w:widowControl w:val="0"/>
      <w:jc w:val="both"/>
    </w:pPr>
    <w:rPr>
      <w:rFonts w:ascii="Calibri" w:hAnsi="Calibri" w:eastAsia="宋体" w:cs="Arial"/>
      <w:kern w:val="2"/>
      <w:sz w:val="21"/>
      <w:szCs w:val="24"/>
      <w:lang w:val="en-US" w:eastAsia="zh-CN" w:bidi="ar-SA"/>
    </w:rPr>
  </w:style>
  <w:style w:type="paragraph" w:customStyle="1" w:styleId="284">
    <w:name w:val="样式 249 10 磅"/>
    <w:qFormat/>
    <w:uiPriority w:val="0"/>
    <w:pPr>
      <w:widowControl w:val="0"/>
      <w:jc w:val="both"/>
    </w:pPr>
    <w:rPr>
      <w:rFonts w:ascii="Calibri" w:hAnsi="Calibri" w:eastAsia="宋体" w:cs="Arial"/>
      <w:kern w:val="2"/>
      <w:sz w:val="21"/>
      <w:szCs w:val="24"/>
      <w:lang w:val="en-US" w:eastAsia="zh-CN" w:bidi="ar-SA"/>
    </w:rPr>
  </w:style>
  <w:style w:type="paragraph" w:customStyle="1" w:styleId="285">
    <w:name w:val="样式 248 10 磅"/>
    <w:qFormat/>
    <w:uiPriority w:val="0"/>
    <w:pPr>
      <w:widowControl w:val="0"/>
      <w:jc w:val="both"/>
    </w:pPr>
    <w:rPr>
      <w:rFonts w:ascii="Calibri" w:hAnsi="Calibri" w:eastAsia="宋体" w:cs="Arial"/>
      <w:kern w:val="2"/>
      <w:sz w:val="21"/>
      <w:szCs w:val="24"/>
      <w:lang w:val="en-US" w:eastAsia="zh-CN" w:bidi="ar-SA"/>
    </w:rPr>
  </w:style>
  <w:style w:type="paragraph" w:customStyle="1" w:styleId="286">
    <w:name w:val="样式 247 10 磅"/>
    <w:qFormat/>
    <w:uiPriority w:val="0"/>
    <w:pPr>
      <w:widowControl w:val="0"/>
      <w:jc w:val="both"/>
    </w:pPr>
    <w:rPr>
      <w:rFonts w:ascii="Calibri" w:hAnsi="Calibri" w:eastAsia="宋体" w:cs="Arial"/>
      <w:kern w:val="2"/>
      <w:sz w:val="21"/>
      <w:szCs w:val="24"/>
      <w:lang w:val="en-US" w:eastAsia="zh-CN" w:bidi="ar-SA"/>
    </w:rPr>
  </w:style>
  <w:style w:type="paragraph" w:customStyle="1" w:styleId="287">
    <w:name w:val="样式 246 10 磅"/>
    <w:qFormat/>
    <w:uiPriority w:val="0"/>
    <w:pPr>
      <w:widowControl w:val="0"/>
      <w:jc w:val="both"/>
    </w:pPr>
    <w:rPr>
      <w:rFonts w:ascii="Calibri" w:hAnsi="Calibri" w:eastAsia="宋体" w:cs="Arial"/>
      <w:kern w:val="2"/>
      <w:sz w:val="21"/>
      <w:szCs w:val="24"/>
      <w:lang w:val="en-US" w:eastAsia="zh-CN" w:bidi="ar-SA"/>
    </w:rPr>
  </w:style>
  <w:style w:type="paragraph" w:customStyle="1" w:styleId="288">
    <w:name w:val="样式 245 10 磅"/>
    <w:qFormat/>
    <w:uiPriority w:val="0"/>
    <w:pPr>
      <w:widowControl w:val="0"/>
      <w:jc w:val="both"/>
    </w:pPr>
    <w:rPr>
      <w:rFonts w:ascii="Calibri" w:hAnsi="Calibri" w:eastAsia="宋体" w:cs="Arial"/>
      <w:kern w:val="2"/>
      <w:sz w:val="21"/>
      <w:szCs w:val="24"/>
      <w:lang w:val="en-US" w:eastAsia="zh-CN" w:bidi="ar-SA"/>
    </w:rPr>
  </w:style>
  <w:style w:type="paragraph" w:customStyle="1" w:styleId="289">
    <w:name w:val="样式 244 10 磅"/>
    <w:qFormat/>
    <w:uiPriority w:val="0"/>
    <w:pPr>
      <w:widowControl w:val="0"/>
      <w:jc w:val="both"/>
    </w:pPr>
    <w:rPr>
      <w:rFonts w:ascii="Calibri" w:hAnsi="Calibri" w:eastAsia="宋体" w:cs="Arial"/>
      <w:kern w:val="2"/>
      <w:sz w:val="21"/>
      <w:szCs w:val="24"/>
      <w:lang w:val="en-US" w:eastAsia="zh-CN" w:bidi="ar-SA"/>
    </w:rPr>
  </w:style>
  <w:style w:type="paragraph" w:customStyle="1" w:styleId="290">
    <w:name w:val="样式 243 10 磅"/>
    <w:qFormat/>
    <w:uiPriority w:val="0"/>
    <w:pPr>
      <w:widowControl w:val="0"/>
      <w:jc w:val="both"/>
    </w:pPr>
    <w:rPr>
      <w:rFonts w:ascii="Calibri" w:hAnsi="Calibri" w:eastAsia="宋体" w:cs="Arial"/>
      <w:kern w:val="2"/>
      <w:sz w:val="21"/>
      <w:szCs w:val="24"/>
      <w:lang w:val="en-US" w:eastAsia="zh-CN" w:bidi="ar-SA"/>
    </w:rPr>
  </w:style>
  <w:style w:type="paragraph" w:customStyle="1" w:styleId="291">
    <w:name w:val="样式 242 10 磅"/>
    <w:qFormat/>
    <w:uiPriority w:val="0"/>
    <w:pPr>
      <w:widowControl w:val="0"/>
      <w:jc w:val="both"/>
    </w:pPr>
    <w:rPr>
      <w:rFonts w:ascii="Calibri" w:hAnsi="Calibri" w:eastAsia="宋体" w:cs="Arial"/>
      <w:kern w:val="2"/>
      <w:sz w:val="21"/>
      <w:szCs w:val="24"/>
      <w:lang w:val="en-US" w:eastAsia="zh-CN" w:bidi="ar-SA"/>
    </w:rPr>
  </w:style>
  <w:style w:type="paragraph" w:customStyle="1" w:styleId="292">
    <w:name w:val="样式 241 10 磅"/>
    <w:qFormat/>
    <w:uiPriority w:val="0"/>
    <w:pPr>
      <w:widowControl w:val="0"/>
      <w:jc w:val="both"/>
    </w:pPr>
    <w:rPr>
      <w:rFonts w:ascii="Calibri" w:hAnsi="Calibri" w:eastAsia="宋体" w:cs="Arial"/>
      <w:kern w:val="2"/>
      <w:sz w:val="21"/>
      <w:szCs w:val="24"/>
      <w:lang w:val="en-US" w:eastAsia="zh-CN" w:bidi="ar-SA"/>
    </w:rPr>
  </w:style>
  <w:style w:type="paragraph" w:customStyle="1" w:styleId="293">
    <w:name w:val="样式 240 10 磅"/>
    <w:qFormat/>
    <w:uiPriority w:val="0"/>
    <w:pPr>
      <w:widowControl w:val="0"/>
      <w:jc w:val="both"/>
    </w:pPr>
    <w:rPr>
      <w:rFonts w:ascii="Calibri" w:hAnsi="Calibri" w:eastAsia="宋体" w:cs="Arial"/>
      <w:kern w:val="2"/>
      <w:sz w:val="21"/>
      <w:szCs w:val="24"/>
      <w:lang w:val="en-US" w:eastAsia="zh-CN" w:bidi="ar-SA"/>
    </w:rPr>
  </w:style>
  <w:style w:type="paragraph" w:customStyle="1" w:styleId="294">
    <w:name w:val="样式 239 10 磅"/>
    <w:qFormat/>
    <w:uiPriority w:val="0"/>
    <w:pPr>
      <w:widowControl w:val="0"/>
      <w:jc w:val="both"/>
    </w:pPr>
    <w:rPr>
      <w:rFonts w:ascii="Calibri" w:hAnsi="Calibri" w:eastAsia="宋体" w:cs="Arial"/>
      <w:kern w:val="2"/>
      <w:sz w:val="21"/>
      <w:szCs w:val="24"/>
      <w:lang w:val="en-US" w:eastAsia="zh-CN" w:bidi="ar-SA"/>
    </w:rPr>
  </w:style>
  <w:style w:type="paragraph" w:customStyle="1" w:styleId="295">
    <w:name w:val="样式 238 10 磅"/>
    <w:qFormat/>
    <w:uiPriority w:val="0"/>
    <w:pPr>
      <w:widowControl w:val="0"/>
      <w:jc w:val="both"/>
    </w:pPr>
    <w:rPr>
      <w:rFonts w:ascii="Calibri" w:hAnsi="Calibri" w:eastAsia="宋体" w:cs="Arial"/>
      <w:kern w:val="2"/>
      <w:sz w:val="21"/>
      <w:szCs w:val="24"/>
      <w:lang w:val="en-US" w:eastAsia="zh-CN" w:bidi="ar-SA"/>
    </w:rPr>
  </w:style>
  <w:style w:type="paragraph" w:customStyle="1" w:styleId="296">
    <w:name w:val="样式 237 10 磅"/>
    <w:qFormat/>
    <w:uiPriority w:val="0"/>
    <w:pPr>
      <w:widowControl w:val="0"/>
      <w:jc w:val="both"/>
    </w:pPr>
    <w:rPr>
      <w:rFonts w:ascii="Calibri" w:hAnsi="Calibri" w:eastAsia="宋体" w:cs="Arial"/>
      <w:kern w:val="2"/>
      <w:sz w:val="21"/>
      <w:szCs w:val="24"/>
      <w:lang w:val="en-US" w:eastAsia="zh-CN" w:bidi="ar-SA"/>
    </w:rPr>
  </w:style>
  <w:style w:type="paragraph" w:customStyle="1" w:styleId="297">
    <w:name w:val="样式 236 10 磅"/>
    <w:qFormat/>
    <w:uiPriority w:val="0"/>
    <w:pPr>
      <w:widowControl w:val="0"/>
      <w:jc w:val="both"/>
    </w:pPr>
    <w:rPr>
      <w:rFonts w:ascii="Calibri" w:hAnsi="Calibri" w:eastAsia="宋体" w:cs="Arial"/>
      <w:kern w:val="2"/>
      <w:sz w:val="21"/>
      <w:szCs w:val="24"/>
      <w:lang w:val="en-US" w:eastAsia="zh-CN" w:bidi="ar-SA"/>
    </w:rPr>
  </w:style>
  <w:style w:type="paragraph" w:customStyle="1" w:styleId="298">
    <w:name w:val="样式 235 10 磅"/>
    <w:qFormat/>
    <w:uiPriority w:val="0"/>
    <w:pPr>
      <w:widowControl w:val="0"/>
      <w:jc w:val="both"/>
    </w:pPr>
    <w:rPr>
      <w:rFonts w:ascii="Calibri" w:hAnsi="Calibri" w:eastAsia="宋体" w:cs="Arial"/>
      <w:kern w:val="2"/>
      <w:sz w:val="21"/>
      <w:szCs w:val="24"/>
      <w:lang w:val="en-US" w:eastAsia="zh-CN" w:bidi="ar-SA"/>
    </w:rPr>
  </w:style>
  <w:style w:type="paragraph" w:customStyle="1" w:styleId="299">
    <w:name w:val="样式 234 10 磅"/>
    <w:qFormat/>
    <w:uiPriority w:val="0"/>
    <w:pPr>
      <w:widowControl w:val="0"/>
      <w:jc w:val="both"/>
    </w:pPr>
    <w:rPr>
      <w:rFonts w:ascii="Calibri" w:hAnsi="Calibri" w:eastAsia="宋体" w:cs="Arial"/>
      <w:kern w:val="2"/>
      <w:sz w:val="21"/>
      <w:szCs w:val="24"/>
      <w:lang w:val="en-US" w:eastAsia="zh-CN" w:bidi="ar-SA"/>
    </w:rPr>
  </w:style>
  <w:style w:type="paragraph" w:customStyle="1" w:styleId="300">
    <w:name w:val="样式 233 10 磅"/>
    <w:qFormat/>
    <w:uiPriority w:val="0"/>
    <w:pPr>
      <w:widowControl w:val="0"/>
      <w:jc w:val="both"/>
    </w:pPr>
    <w:rPr>
      <w:rFonts w:ascii="Calibri" w:hAnsi="Calibri" w:eastAsia="宋体" w:cs="Arial"/>
      <w:kern w:val="2"/>
      <w:sz w:val="21"/>
      <w:szCs w:val="24"/>
      <w:lang w:val="en-US" w:eastAsia="zh-CN" w:bidi="ar-SA"/>
    </w:rPr>
  </w:style>
  <w:style w:type="paragraph" w:customStyle="1" w:styleId="301">
    <w:name w:val="样式 229 10 磅"/>
    <w:qFormat/>
    <w:uiPriority w:val="0"/>
    <w:pPr>
      <w:widowControl w:val="0"/>
      <w:jc w:val="both"/>
    </w:pPr>
    <w:rPr>
      <w:rFonts w:ascii="Calibri" w:hAnsi="Calibri" w:eastAsia="宋体" w:cs="Arial"/>
      <w:kern w:val="2"/>
      <w:sz w:val="21"/>
      <w:szCs w:val="24"/>
      <w:lang w:val="en-US" w:eastAsia="zh-CN" w:bidi="ar-SA"/>
    </w:rPr>
  </w:style>
  <w:style w:type="paragraph" w:customStyle="1" w:styleId="302">
    <w:name w:val="样式 228 10 磅"/>
    <w:qFormat/>
    <w:uiPriority w:val="0"/>
    <w:pPr>
      <w:widowControl w:val="0"/>
      <w:jc w:val="both"/>
    </w:pPr>
    <w:rPr>
      <w:rFonts w:ascii="Calibri" w:hAnsi="Calibri" w:eastAsia="宋体" w:cs="Arial"/>
      <w:kern w:val="2"/>
      <w:sz w:val="21"/>
      <w:szCs w:val="24"/>
      <w:lang w:val="en-US" w:eastAsia="zh-CN" w:bidi="ar-SA"/>
    </w:rPr>
  </w:style>
  <w:style w:type="paragraph" w:customStyle="1" w:styleId="303">
    <w:name w:val="样式 227 10 磅"/>
    <w:qFormat/>
    <w:uiPriority w:val="0"/>
    <w:pPr>
      <w:widowControl w:val="0"/>
      <w:jc w:val="both"/>
    </w:pPr>
    <w:rPr>
      <w:rFonts w:ascii="Calibri" w:hAnsi="Calibri" w:eastAsia="宋体" w:cs="Arial"/>
      <w:kern w:val="2"/>
      <w:sz w:val="21"/>
      <w:szCs w:val="24"/>
      <w:lang w:val="en-US" w:eastAsia="zh-CN" w:bidi="ar-SA"/>
    </w:rPr>
  </w:style>
  <w:style w:type="paragraph" w:customStyle="1" w:styleId="304">
    <w:name w:val="样式 226 10 磅"/>
    <w:qFormat/>
    <w:uiPriority w:val="0"/>
    <w:pPr>
      <w:widowControl w:val="0"/>
      <w:jc w:val="both"/>
    </w:pPr>
    <w:rPr>
      <w:rFonts w:ascii="Calibri" w:hAnsi="Calibri" w:eastAsia="宋体" w:cs="Arial"/>
      <w:kern w:val="2"/>
      <w:sz w:val="21"/>
      <w:szCs w:val="24"/>
      <w:lang w:val="en-US" w:eastAsia="zh-CN" w:bidi="ar-SA"/>
    </w:rPr>
  </w:style>
  <w:style w:type="paragraph" w:customStyle="1" w:styleId="305">
    <w:name w:val="样式 225 10 磅"/>
    <w:qFormat/>
    <w:uiPriority w:val="0"/>
    <w:pPr>
      <w:widowControl w:val="0"/>
      <w:jc w:val="both"/>
    </w:pPr>
    <w:rPr>
      <w:rFonts w:ascii="Calibri" w:hAnsi="Calibri" w:eastAsia="宋体" w:cs="Arial"/>
      <w:kern w:val="2"/>
      <w:sz w:val="21"/>
      <w:szCs w:val="24"/>
      <w:lang w:val="en-US" w:eastAsia="zh-CN" w:bidi="ar-SA"/>
    </w:rPr>
  </w:style>
  <w:style w:type="paragraph" w:customStyle="1" w:styleId="306">
    <w:name w:val="样式 224 10 磅"/>
    <w:qFormat/>
    <w:uiPriority w:val="0"/>
    <w:pPr>
      <w:widowControl w:val="0"/>
      <w:jc w:val="both"/>
    </w:pPr>
    <w:rPr>
      <w:rFonts w:ascii="Calibri" w:hAnsi="Calibri" w:eastAsia="宋体" w:cs="Arial"/>
      <w:kern w:val="2"/>
      <w:sz w:val="21"/>
      <w:szCs w:val="24"/>
      <w:lang w:val="en-US" w:eastAsia="zh-CN" w:bidi="ar-SA"/>
    </w:rPr>
  </w:style>
  <w:style w:type="paragraph" w:customStyle="1" w:styleId="307">
    <w:name w:val="样式 223 10 磅"/>
    <w:qFormat/>
    <w:uiPriority w:val="0"/>
    <w:pPr>
      <w:widowControl w:val="0"/>
      <w:jc w:val="both"/>
    </w:pPr>
    <w:rPr>
      <w:rFonts w:ascii="Calibri" w:hAnsi="Calibri" w:eastAsia="宋体" w:cs="Arial"/>
      <w:kern w:val="2"/>
      <w:sz w:val="21"/>
      <w:szCs w:val="24"/>
      <w:lang w:val="en-US" w:eastAsia="zh-CN" w:bidi="ar-SA"/>
    </w:rPr>
  </w:style>
  <w:style w:type="paragraph" w:customStyle="1" w:styleId="308">
    <w:name w:val="样式 222 10 磅"/>
    <w:qFormat/>
    <w:uiPriority w:val="0"/>
    <w:pPr>
      <w:widowControl w:val="0"/>
      <w:jc w:val="both"/>
    </w:pPr>
    <w:rPr>
      <w:rFonts w:ascii="Calibri" w:hAnsi="Calibri" w:eastAsia="宋体" w:cs="Arial"/>
      <w:kern w:val="2"/>
      <w:sz w:val="21"/>
      <w:szCs w:val="24"/>
      <w:lang w:val="en-US" w:eastAsia="zh-CN" w:bidi="ar-SA"/>
    </w:rPr>
  </w:style>
  <w:style w:type="paragraph" w:customStyle="1" w:styleId="309">
    <w:name w:val="样式 221 10 磅"/>
    <w:qFormat/>
    <w:uiPriority w:val="0"/>
    <w:pPr>
      <w:widowControl w:val="0"/>
      <w:jc w:val="both"/>
    </w:pPr>
    <w:rPr>
      <w:rFonts w:ascii="Calibri" w:hAnsi="Calibri" w:eastAsia="宋体" w:cs="Arial"/>
      <w:kern w:val="2"/>
      <w:sz w:val="21"/>
      <w:szCs w:val="24"/>
      <w:lang w:val="en-US" w:eastAsia="zh-CN" w:bidi="ar-SA"/>
    </w:rPr>
  </w:style>
  <w:style w:type="paragraph" w:customStyle="1" w:styleId="310">
    <w:name w:val="样式 220 10 磅"/>
    <w:qFormat/>
    <w:uiPriority w:val="0"/>
    <w:pPr>
      <w:widowControl w:val="0"/>
      <w:jc w:val="both"/>
    </w:pPr>
    <w:rPr>
      <w:rFonts w:ascii="Calibri" w:hAnsi="Calibri" w:eastAsia="宋体" w:cs="Arial"/>
      <w:kern w:val="2"/>
      <w:sz w:val="21"/>
      <w:szCs w:val="24"/>
      <w:lang w:val="en-US" w:eastAsia="zh-CN" w:bidi="ar-SA"/>
    </w:rPr>
  </w:style>
  <w:style w:type="paragraph" w:customStyle="1" w:styleId="311">
    <w:name w:val="样式 219 10 磅"/>
    <w:qFormat/>
    <w:uiPriority w:val="0"/>
    <w:pPr>
      <w:widowControl w:val="0"/>
      <w:jc w:val="both"/>
    </w:pPr>
    <w:rPr>
      <w:rFonts w:ascii="Calibri" w:hAnsi="Calibri" w:eastAsia="宋体" w:cs="Arial"/>
      <w:kern w:val="2"/>
      <w:sz w:val="21"/>
      <w:szCs w:val="24"/>
      <w:lang w:val="en-US" w:eastAsia="zh-CN" w:bidi="ar-SA"/>
    </w:rPr>
  </w:style>
  <w:style w:type="paragraph" w:customStyle="1" w:styleId="312">
    <w:name w:val="样式 218 10 磅"/>
    <w:qFormat/>
    <w:uiPriority w:val="0"/>
    <w:pPr>
      <w:widowControl w:val="0"/>
      <w:jc w:val="both"/>
    </w:pPr>
    <w:rPr>
      <w:rFonts w:ascii="Calibri" w:hAnsi="Calibri" w:eastAsia="宋体" w:cs="Arial"/>
      <w:kern w:val="2"/>
      <w:sz w:val="21"/>
      <w:szCs w:val="24"/>
      <w:lang w:val="en-US" w:eastAsia="zh-CN" w:bidi="ar-SA"/>
    </w:rPr>
  </w:style>
  <w:style w:type="paragraph" w:customStyle="1" w:styleId="313">
    <w:name w:val="样式 217 10 磅"/>
    <w:qFormat/>
    <w:uiPriority w:val="0"/>
    <w:pPr>
      <w:widowControl w:val="0"/>
      <w:jc w:val="both"/>
    </w:pPr>
    <w:rPr>
      <w:rFonts w:ascii="Calibri" w:hAnsi="Calibri" w:eastAsia="宋体" w:cs="Arial"/>
      <w:kern w:val="2"/>
      <w:sz w:val="21"/>
      <w:szCs w:val="24"/>
      <w:lang w:val="en-US" w:eastAsia="zh-CN" w:bidi="ar-SA"/>
    </w:rPr>
  </w:style>
  <w:style w:type="paragraph" w:customStyle="1" w:styleId="314">
    <w:name w:val="样式 216 10 磅"/>
    <w:qFormat/>
    <w:uiPriority w:val="0"/>
    <w:pPr>
      <w:widowControl w:val="0"/>
      <w:jc w:val="both"/>
    </w:pPr>
    <w:rPr>
      <w:rFonts w:ascii="Calibri" w:hAnsi="Calibri" w:eastAsia="宋体" w:cs="Arial"/>
      <w:kern w:val="2"/>
      <w:sz w:val="21"/>
      <w:szCs w:val="24"/>
      <w:lang w:val="en-US" w:eastAsia="zh-CN" w:bidi="ar-SA"/>
    </w:rPr>
  </w:style>
  <w:style w:type="paragraph" w:customStyle="1" w:styleId="315">
    <w:name w:val="样式 215 10 磅"/>
    <w:qFormat/>
    <w:uiPriority w:val="0"/>
    <w:pPr>
      <w:widowControl w:val="0"/>
      <w:jc w:val="both"/>
    </w:pPr>
    <w:rPr>
      <w:rFonts w:ascii="Calibri" w:hAnsi="Calibri" w:eastAsia="宋体" w:cs="Arial"/>
      <w:kern w:val="2"/>
      <w:sz w:val="21"/>
      <w:szCs w:val="24"/>
      <w:lang w:val="en-US" w:eastAsia="zh-CN" w:bidi="ar-SA"/>
    </w:rPr>
  </w:style>
  <w:style w:type="paragraph" w:customStyle="1" w:styleId="316">
    <w:name w:val="样式 211 10 磅"/>
    <w:qFormat/>
    <w:uiPriority w:val="0"/>
    <w:pPr>
      <w:widowControl w:val="0"/>
      <w:jc w:val="both"/>
    </w:pPr>
    <w:rPr>
      <w:rFonts w:ascii="Calibri" w:hAnsi="Calibri" w:eastAsia="宋体" w:cs="Arial"/>
      <w:kern w:val="2"/>
      <w:sz w:val="21"/>
      <w:szCs w:val="24"/>
      <w:lang w:val="en-US" w:eastAsia="zh-CN" w:bidi="ar-SA"/>
    </w:rPr>
  </w:style>
  <w:style w:type="paragraph" w:customStyle="1" w:styleId="317">
    <w:name w:val="样式 210 10 磅"/>
    <w:qFormat/>
    <w:uiPriority w:val="0"/>
    <w:pPr>
      <w:widowControl w:val="0"/>
      <w:jc w:val="both"/>
    </w:pPr>
    <w:rPr>
      <w:rFonts w:ascii="Calibri" w:hAnsi="Calibri" w:eastAsia="宋体" w:cs="Arial"/>
      <w:kern w:val="2"/>
      <w:sz w:val="21"/>
      <w:szCs w:val="24"/>
      <w:lang w:val="en-US" w:eastAsia="zh-CN" w:bidi="ar-SA"/>
    </w:rPr>
  </w:style>
  <w:style w:type="paragraph" w:customStyle="1" w:styleId="318">
    <w:name w:val="样式 209 10 磅"/>
    <w:qFormat/>
    <w:uiPriority w:val="0"/>
    <w:pPr>
      <w:widowControl w:val="0"/>
      <w:jc w:val="both"/>
    </w:pPr>
    <w:rPr>
      <w:rFonts w:ascii="Calibri" w:hAnsi="Calibri" w:eastAsia="宋体" w:cs="Arial"/>
      <w:kern w:val="2"/>
      <w:sz w:val="21"/>
      <w:szCs w:val="24"/>
      <w:lang w:val="en-US" w:eastAsia="zh-CN" w:bidi="ar-SA"/>
    </w:rPr>
  </w:style>
  <w:style w:type="paragraph" w:customStyle="1" w:styleId="319">
    <w:name w:val="样式 208 10 磅"/>
    <w:qFormat/>
    <w:uiPriority w:val="0"/>
    <w:pPr>
      <w:widowControl w:val="0"/>
      <w:jc w:val="both"/>
    </w:pPr>
    <w:rPr>
      <w:rFonts w:ascii="Calibri" w:hAnsi="Calibri" w:eastAsia="宋体" w:cs="Arial"/>
      <w:kern w:val="2"/>
      <w:sz w:val="21"/>
      <w:szCs w:val="24"/>
      <w:lang w:val="en-US" w:eastAsia="zh-CN" w:bidi="ar-SA"/>
    </w:rPr>
  </w:style>
  <w:style w:type="paragraph" w:customStyle="1" w:styleId="320">
    <w:name w:val="样式 207 10 磅"/>
    <w:qFormat/>
    <w:uiPriority w:val="0"/>
    <w:pPr>
      <w:widowControl w:val="0"/>
      <w:jc w:val="both"/>
    </w:pPr>
    <w:rPr>
      <w:rFonts w:ascii="Calibri" w:hAnsi="Calibri" w:eastAsia="宋体" w:cs="Arial"/>
      <w:kern w:val="2"/>
      <w:sz w:val="21"/>
      <w:szCs w:val="24"/>
      <w:lang w:val="en-US" w:eastAsia="zh-CN" w:bidi="ar-SA"/>
    </w:rPr>
  </w:style>
  <w:style w:type="paragraph" w:customStyle="1" w:styleId="321">
    <w:name w:val="样式 206 10 磅"/>
    <w:qFormat/>
    <w:uiPriority w:val="0"/>
    <w:pPr>
      <w:widowControl w:val="0"/>
      <w:jc w:val="both"/>
    </w:pPr>
    <w:rPr>
      <w:rFonts w:ascii="Calibri" w:hAnsi="Calibri" w:eastAsia="宋体" w:cs="Arial"/>
      <w:kern w:val="2"/>
      <w:sz w:val="21"/>
      <w:szCs w:val="24"/>
      <w:lang w:val="en-US" w:eastAsia="zh-CN" w:bidi="ar-SA"/>
    </w:rPr>
  </w:style>
  <w:style w:type="paragraph" w:customStyle="1" w:styleId="322">
    <w:name w:val="样式 54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23">
    <w:name w:val="样式 55 10 磅"/>
    <w:qFormat/>
    <w:uiPriority w:val="0"/>
    <w:rPr>
      <w:rFonts w:ascii="宋体" w:hAnsi="Times New Roman" w:eastAsia="宋体" w:cs="Arial"/>
      <w:lang w:val="en-US" w:eastAsia="zh-CN" w:bidi="ar-SA"/>
    </w:rPr>
  </w:style>
  <w:style w:type="paragraph" w:customStyle="1" w:styleId="324">
    <w:name w:val="样式 42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25">
    <w:name w:val="样式 299 10 磅"/>
    <w:qFormat/>
    <w:uiPriority w:val="0"/>
    <w:rPr>
      <w:rFonts w:ascii="宋体" w:hAnsi="Times New Roman" w:eastAsia="宋体" w:cs="Arial"/>
      <w:lang w:val="en-US" w:eastAsia="zh-CN" w:bidi="ar-SA"/>
    </w:rPr>
  </w:style>
  <w:style w:type="paragraph" w:customStyle="1" w:styleId="326">
    <w:name w:val="样式 56 10 磅"/>
    <w:qFormat/>
    <w:uiPriority w:val="0"/>
    <w:pPr>
      <w:widowControl w:val="0"/>
      <w:jc w:val="both"/>
    </w:pPr>
    <w:rPr>
      <w:rFonts w:ascii="Calibri" w:hAnsi="Calibri" w:eastAsia="宋体" w:cs="Arial"/>
      <w:kern w:val="2"/>
      <w:sz w:val="21"/>
      <w:szCs w:val="24"/>
      <w:lang w:val="en-US" w:eastAsia="zh-CN" w:bidi="ar-SA"/>
    </w:rPr>
  </w:style>
  <w:style w:type="paragraph" w:customStyle="1" w:styleId="327">
    <w:name w:val="样式 57 10 磅"/>
    <w:qFormat/>
    <w:uiPriority w:val="0"/>
    <w:pPr>
      <w:widowControl w:val="0"/>
      <w:jc w:val="both"/>
    </w:pPr>
    <w:rPr>
      <w:rFonts w:ascii="Calibri" w:hAnsi="Calibri" w:eastAsia="宋体" w:cs="Arial"/>
      <w:kern w:val="2"/>
      <w:sz w:val="21"/>
      <w:szCs w:val="24"/>
      <w:lang w:val="en-US" w:eastAsia="zh-CN" w:bidi="ar-SA"/>
    </w:rPr>
  </w:style>
  <w:style w:type="paragraph" w:customStyle="1" w:styleId="328">
    <w:name w:val="样式 62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29">
    <w:name w:val="样式 63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30">
    <w:name w:val="样式 64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31">
    <w:name w:val="样式 66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32">
    <w:name w:val="样式 1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33">
    <w:name w:val="样式 2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34">
    <w:name w:val="new file normal"/>
    <w:qFormat/>
    <w:uiPriority w:val="0"/>
    <w:rPr>
      <w:rFonts w:ascii="Times New Roman" w:hAnsi="Times New Roman" w:eastAsia="宋体" w:cs="Times New Roman"/>
      <w:lang w:val="en-US" w:eastAsia="zh-CN" w:bidi="ar-SA"/>
    </w:rPr>
  </w:style>
  <w:style w:type="paragraph" w:customStyle="1" w:styleId="335">
    <w:name w:val="样式 3 10 磅"/>
    <w:qFormat/>
    <w:uiPriority w:val="0"/>
    <w:rPr>
      <w:rFonts w:ascii="Times New Roman" w:hAnsi="Times New Roman" w:eastAsia="宋体" w:cs="Times New Roman"/>
      <w:lang w:val="en-US" w:eastAsia="zh-CN" w:bidi="ar-SA"/>
    </w:rPr>
  </w:style>
  <w:style w:type="paragraph" w:customStyle="1" w:styleId="336">
    <w:name w:val="样式 4 10 磅"/>
    <w:qFormat/>
    <w:uiPriority w:val="0"/>
    <w:rPr>
      <w:rFonts w:ascii="Times New Roman" w:hAnsi="Times New Roman" w:eastAsia="宋体" w:cs="Times New Roman"/>
      <w:lang w:val="en-US" w:eastAsia="zh-CN" w:bidi="ar-SA"/>
    </w:rPr>
  </w:style>
  <w:style w:type="paragraph" w:customStyle="1" w:styleId="337">
    <w:name w:val="样式 5 10 磅"/>
    <w:qFormat/>
    <w:uiPriority w:val="0"/>
    <w:rPr>
      <w:rFonts w:ascii="Times New Roman" w:hAnsi="Times New Roman" w:eastAsia="宋体" w:cs="Times New Roman"/>
      <w:lang w:val="en-US" w:eastAsia="zh-CN" w:bidi="ar-SA"/>
    </w:rPr>
  </w:style>
  <w:style w:type="paragraph" w:customStyle="1" w:styleId="338">
    <w:name w:val="样式 6 10 磅"/>
    <w:qFormat/>
    <w:uiPriority w:val="0"/>
    <w:rPr>
      <w:rFonts w:ascii="Times New Roman" w:hAnsi="Times New Roman" w:eastAsia="宋体" w:cs="Times New Roman"/>
      <w:lang w:val="en-US" w:eastAsia="zh-CN" w:bidi="ar-SA"/>
    </w:rPr>
  </w:style>
  <w:style w:type="paragraph" w:customStyle="1" w:styleId="339">
    <w:name w:val="样式 7 10 磅"/>
    <w:qFormat/>
    <w:uiPriority w:val="0"/>
    <w:rPr>
      <w:rFonts w:ascii="Times New Roman" w:hAnsi="Times New Roman" w:eastAsia="宋体" w:cs="Times New Roman"/>
      <w:lang w:val="en-US" w:eastAsia="zh-CN" w:bidi="ar-SA"/>
    </w:rPr>
  </w:style>
  <w:style w:type="paragraph" w:customStyle="1" w:styleId="340">
    <w:name w:val="样式 8 10 磅"/>
    <w:qFormat/>
    <w:uiPriority w:val="0"/>
    <w:rPr>
      <w:rFonts w:ascii="Times New Roman" w:hAnsi="Times New Roman" w:eastAsia="宋体" w:cs="Times New Roman"/>
      <w:lang w:val="en-US" w:eastAsia="zh-CN" w:bidi="ar-SA"/>
    </w:rPr>
  </w:style>
  <w:style w:type="paragraph" w:customStyle="1" w:styleId="341">
    <w:name w:val="样式 1 小四"/>
    <w:basedOn w:val="1"/>
    <w:qFormat/>
    <w:uiPriority w:val="0"/>
    <w:pPr>
      <w:widowControl/>
      <w:spacing w:line="360" w:lineRule="auto"/>
      <w:jc w:val="left"/>
    </w:pPr>
    <w:rPr>
      <w:rFonts w:ascii="宋体" w:cs="宋体"/>
      <w:kern w:val="0"/>
      <w:szCs w:val="24"/>
    </w:rPr>
  </w:style>
  <w:style w:type="paragraph" w:customStyle="1" w:styleId="342">
    <w:name w:val="修订8"/>
    <w:qFormat/>
    <w:uiPriority w:val="0"/>
    <w:rPr>
      <w:rFonts w:ascii="等线" w:hAnsi="等线" w:eastAsia="宋体" w:cs="黑体"/>
      <w:kern w:val="2"/>
      <w:sz w:val="24"/>
      <w:szCs w:val="22"/>
      <w:lang w:val="en-US" w:eastAsia="zh-CN" w:bidi="ar-SA"/>
    </w:rPr>
  </w:style>
  <w:style w:type="paragraph" w:customStyle="1" w:styleId="343">
    <w:name w:val="样式 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4">
    <w:name w:val="样式 10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45">
    <w:name w:val="修订9"/>
    <w:qFormat/>
    <w:uiPriority w:val="0"/>
    <w:rPr>
      <w:rFonts w:ascii="等线" w:hAnsi="等线" w:eastAsia="宋体" w:cs="黑体"/>
      <w:kern w:val="2"/>
      <w:sz w:val="24"/>
      <w:szCs w:val="22"/>
      <w:lang w:val="en-US" w:eastAsia="zh-CN" w:bidi="ar-SA"/>
    </w:rPr>
  </w:style>
  <w:style w:type="paragraph" w:customStyle="1" w:styleId="346">
    <w:name w:val="修订10"/>
    <w:qFormat/>
    <w:uiPriority w:val="0"/>
    <w:rPr>
      <w:rFonts w:ascii="等线" w:hAnsi="等线" w:eastAsia="宋体" w:cs="黑体"/>
      <w:kern w:val="2"/>
      <w:sz w:val="24"/>
      <w:szCs w:val="22"/>
      <w:lang w:val="en-US" w:eastAsia="zh-CN" w:bidi="ar-SA"/>
    </w:rPr>
  </w:style>
  <w:style w:type="paragraph" w:styleId="347">
    <w:name w:val="List Paragraph"/>
    <w:basedOn w:val="1"/>
    <w:qFormat/>
    <w:uiPriority w:val="0"/>
    <w:pPr>
      <w:ind w:left="720"/>
      <w:contextualSpacing/>
    </w:pPr>
  </w:style>
  <w:style w:type="paragraph" w:customStyle="1" w:styleId="348">
    <w:name w:val="break-words"/>
    <w:basedOn w:val="1"/>
    <w:qFormat/>
    <w:uiPriority w:val="0"/>
    <w:pPr>
      <w:widowControl/>
      <w:spacing w:before="100" w:beforeAutospacing="1" w:after="100" w:afterAutospacing="1"/>
    </w:pPr>
    <w:rPr>
      <w:rFonts w:ascii="宋体" w:hAnsi="宋体" w:cs="宋体"/>
      <w:kern w:val="0"/>
    </w:rPr>
  </w:style>
  <w:style w:type="paragraph" w:customStyle="1" w:styleId="349">
    <w:name w:val="修订11"/>
    <w:qFormat/>
    <w:uiPriority w:val="0"/>
    <w:rPr>
      <w:rFonts w:ascii="等线" w:hAnsi="等线" w:eastAsia="宋体" w:cs="黑体"/>
      <w:kern w:val="2"/>
      <w:sz w:val="24"/>
      <w:szCs w:val="22"/>
      <w:lang w:val="en-US" w:eastAsia="zh-CN" w:bidi="ar-SA"/>
    </w:rPr>
  </w:style>
  <w:style w:type="paragraph" w:customStyle="1" w:styleId="350">
    <w:name w:val="修订12"/>
    <w:qFormat/>
    <w:uiPriority w:val="0"/>
    <w:rPr>
      <w:rFonts w:ascii="等线" w:hAnsi="等线" w:eastAsia="宋体" w:cs="黑体"/>
      <w:kern w:val="2"/>
      <w:sz w:val="24"/>
      <w:szCs w:val="22"/>
      <w:lang w:val="en-US" w:eastAsia="zh-CN" w:bidi="ar-SA"/>
    </w:rPr>
  </w:style>
  <w:style w:type="paragraph" w:customStyle="1" w:styleId="351">
    <w:name w:val="WW-正文缩进"/>
    <w:basedOn w:val="1"/>
    <w:qFormat/>
    <w:uiPriority w:val="0"/>
    <w:pPr>
      <w:suppressAutoHyphens/>
      <w:autoSpaceDE w:val="0"/>
      <w:spacing w:line="360" w:lineRule="auto"/>
      <w:ind w:left="181" w:firstLine="420"/>
    </w:pPr>
    <w:rPr>
      <w:szCs w:val="20"/>
      <w:lang w:eastAsia="ar-SA"/>
    </w:rPr>
  </w:style>
  <w:style w:type="paragraph" w:customStyle="1" w:styleId="352">
    <w:name w:val="正文文本缩进 21"/>
    <w:basedOn w:val="1"/>
    <w:qFormat/>
    <w:uiPriority w:val="0"/>
    <w:pPr>
      <w:suppressAutoHyphens/>
      <w:ind w:left="540" w:hanging="540"/>
    </w:pPr>
    <w:rPr>
      <w:rFonts w:ascii="宋体" w:cs="宋体"/>
      <w:sz w:val="28"/>
      <w:szCs w:val="20"/>
      <w:lang w:eastAsia="ar-SA"/>
    </w:rPr>
  </w:style>
  <w:style w:type="paragraph" w:customStyle="1" w:styleId="353">
    <w:name w:val="样式 1871 10 磅"/>
    <w:qFormat/>
    <w:uiPriority w:val="0"/>
    <w:pPr>
      <w:widowControl w:val="0"/>
      <w:jc w:val="both"/>
    </w:pPr>
    <w:rPr>
      <w:rFonts w:ascii="Times New Roman" w:hAnsi="Times New Roman" w:eastAsia="方正黑体_GBK" w:cs="Times New Roman"/>
      <w:kern w:val="2"/>
      <w:sz w:val="21"/>
      <w:szCs w:val="22"/>
      <w:lang w:val="en-US" w:eastAsia="zh-CN" w:bidi="ar-SA"/>
    </w:rPr>
  </w:style>
  <w:style w:type="paragraph" w:customStyle="1" w:styleId="354">
    <w:name w:val="样式 1872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5">
    <w:name w:val="样式 1873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6">
    <w:name w:val="修订13"/>
    <w:qFormat/>
    <w:uiPriority w:val="0"/>
    <w:rPr>
      <w:rFonts w:ascii="等线" w:hAnsi="等线" w:eastAsia="宋体" w:cs="黑体"/>
      <w:kern w:val="2"/>
      <w:sz w:val="24"/>
      <w:szCs w:val="22"/>
      <w:lang w:val="en-US" w:eastAsia="zh-CN" w:bidi="ar-SA"/>
    </w:rPr>
  </w:style>
  <w:style w:type="paragraph" w:customStyle="1" w:styleId="357">
    <w:name w:val="样式 11 10 磅"/>
    <w:basedOn w:val="1"/>
    <w:qFormat/>
    <w:uiPriority w:val="0"/>
    <w:pPr>
      <w:jc w:val="left"/>
    </w:pPr>
    <w:rPr>
      <w:rFonts w:ascii="Times New Roman" w:hAnsi="Times New Roman" w:cs="Times New Roman"/>
      <w:sz w:val="21"/>
      <w:szCs w:val="24"/>
    </w:rPr>
  </w:style>
  <w:style w:type="paragraph" w:customStyle="1" w:styleId="358">
    <w:name w:val="样式 2 小四"/>
    <w:basedOn w:val="1"/>
    <w:qFormat/>
    <w:uiPriority w:val="0"/>
    <w:pPr>
      <w:widowControl/>
      <w:spacing w:line="360" w:lineRule="auto"/>
      <w:jc w:val="left"/>
    </w:pPr>
    <w:rPr>
      <w:rFonts w:ascii="宋体" w:cs="宋体"/>
      <w:kern w:val="0"/>
      <w:szCs w:val="24"/>
    </w:rPr>
  </w:style>
  <w:style w:type="paragraph" w:customStyle="1" w:styleId="359">
    <w:name w:val="样式 3 小四"/>
    <w:basedOn w:val="1"/>
    <w:qFormat/>
    <w:uiPriority w:val="0"/>
    <w:pPr>
      <w:widowControl/>
      <w:spacing w:line="360" w:lineRule="auto"/>
      <w:jc w:val="left"/>
    </w:pPr>
    <w:rPr>
      <w:rFonts w:ascii="宋体" w:cs="宋体"/>
      <w:kern w:val="0"/>
      <w:szCs w:val="24"/>
    </w:rPr>
  </w:style>
  <w:style w:type="paragraph" w:customStyle="1" w:styleId="360">
    <w:name w:val="样式 12 10 磅"/>
    <w:basedOn w:val="1"/>
    <w:qFormat/>
    <w:uiPriority w:val="0"/>
    <w:pPr>
      <w:jc w:val="left"/>
    </w:pPr>
    <w:rPr>
      <w:rFonts w:ascii="Times New Roman" w:hAnsi="Times New Roman" w:cs="Times New Roman"/>
      <w:sz w:val="21"/>
      <w:szCs w:val="24"/>
    </w:rPr>
  </w:style>
  <w:style w:type="paragraph" w:customStyle="1" w:styleId="361">
    <w:name w:val="样式 15 10 磅"/>
    <w:qFormat/>
    <w:uiPriority w:val="0"/>
    <w:pPr>
      <w:widowControl w:val="0"/>
      <w:jc w:val="both"/>
    </w:pPr>
    <w:rPr>
      <w:rFonts w:ascii="等线" w:hAnsi="等线" w:eastAsia="等线" w:cs="黑体"/>
      <w:kern w:val="2"/>
      <w:sz w:val="21"/>
      <w:szCs w:val="22"/>
      <w:lang w:val="en-US" w:eastAsia="zh-CN" w:bidi="ar-SA"/>
    </w:rPr>
  </w:style>
  <w:style w:type="paragraph" w:customStyle="1" w:styleId="362">
    <w:name w:val="样式 16 10 磅"/>
    <w:qFormat/>
    <w:uiPriority w:val="0"/>
    <w:pPr>
      <w:widowControl w:val="0"/>
      <w:jc w:val="both"/>
    </w:pPr>
    <w:rPr>
      <w:rFonts w:ascii="等线" w:hAnsi="等线" w:eastAsia="等线" w:cs="黑体"/>
      <w:kern w:val="2"/>
      <w:sz w:val="21"/>
      <w:szCs w:val="22"/>
      <w:lang w:val="en-US" w:eastAsia="zh-CN" w:bidi="ar-SA"/>
    </w:rPr>
  </w:style>
  <w:style w:type="paragraph" w:customStyle="1" w:styleId="363">
    <w:name w:val="样式 4 小四"/>
    <w:qFormat/>
    <w:uiPriority w:val="0"/>
    <w:pPr>
      <w:widowControl w:val="0"/>
      <w:jc w:val="both"/>
    </w:pPr>
    <w:rPr>
      <w:rFonts w:ascii="等线" w:hAnsi="等线" w:eastAsia="宋体" w:cs="黑体"/>
      <w:kern w:val="2"/>
      <w:sz w:val="24"/>
      <w:szCs w:val="22"/>
      <w:lang w:val="en-US" w:eastAsia="zh-CN" w:bidi="ar-SA"/>
    </w:rPr>
  </w:style>
  <w:style w:type="paragraph" w:customStyle="1" w:styleId="364">
    <w:name w:val="样式 17 10 磅"/>
    <w:basedOn w:val="1"/>
    <w:qFormat/>
    <w:uiPriority w:val="0"/>
    <w:pPr>
      <w:widowControl/>
      <w:ind w:firstLine="420"/>
      <w:jc w:val="left"/>
    </w:pPr>
    <w:rPr>
      <w:rFonts w:cs="Times New Roman"/>
      <w:sz w:val="21"/>
    </w:rPr>
  </w:style>
  <w:style w:type="paragraph" w:customStyle="1" w:styleId="365">
    <w:name w:val="样式 5 小四"/>
    <w:qFormat/>
    <w:uiPriority w:val="0"/>
    <w:pPr>
      <w:widowControl w:val="0"/>
      <w:jc w:val="both"/>
    </w:pPr>
    <w:rPr>
      <w:rFonts w:ascii="等线" w:hAnsi="等线" w:eastAsia="宋体" w:cs="黑体"/>
      <w:kern w:val="2"/>
      <w:sz w:val="24"/>
      <w:szCs w:val="22"/>
      <w:lang w:val="en-US" w:eastAsia="zh-CN" w:bidi="ar-SA"/>
    </w:rPr>
  </w:style>
  <w:style w:type="paragraph" w:customStyle="1" w:styleId="366">
    <w:name w:val="样式 18 10 磅"/>
    <w:basedOn w:val="1"/>
    <w:qFormat/>
    <w:uiPriority w:val="0"/>
    <w:pPr>
      <w:jc w:val="left"/>
    </w:pPr>
    <w:rPr>
      <w:rFonts w:ascii="Times New Roman" w:hAnsi="Times New Roman" w:cs="Times New Roman"/>
      <w:sz w:val="21"/>
      <w:szCs w:val="24"/>
    </w:rPr>
  </w:style>
  <w:style w:type="paragraph" w:customStyle="1" w:styleId="367">
    <w:name w:val="样式 6 小四"/>
    <w:qFormat/>
    <w:uiPriority w:val="0"/>
    <w:pPr>
      <w:widowControl w:val="0"/>
      <w:jc w:val="both"/>
    </w:pPr>
    <w:rPr>
      <w:rFonts w:ascii="等线" w:hAnsi="等线" w:eastAsia="宋体" w:cs="黑体"/>
      <w:kern w:val="2"/>
      <w:sz w:val="24"/>
      <w:szCs w:val="22"/>
      <w:lang w:val="en-US" w:eastAsia="zh-CN" w:bidi="ar-SA"/>
    </w:rPr>
  </w:style>
  <w:style w:type="paragraph" w:customStyle="1" w:styleId="368">
    <w:name w:val="样式 7 小四"/>
    <w:qFormat/>
    <w:uiPriority w:val="0"/>
    <w:pPr>
      <w:widowControl w:val="0"/>
      <w:jc w:val="both"/>
    </w:pPr>
    <w:rPr>
      <w:rFonts w:ascii="等线" w:hAnsi="等线" w:eastAsia="宋体" w:cs="黑体"/>
      <w:kern w:val="2"/>
      <w:sz w:val="24"/>
      <w:szCs w:val="22"/>
      <w:lang w:val="en-US" w:eastAsia="zh-CN" w:bidi="ar-SA"/>
    </w:rPr>
  </w:style>
  <w:style w:type="paragraph" w:customStyle="1" w:styleId="369">
    <w:name w:val="样式 19 10 磅"/>
    <w:basedOn w:val="1"/>
    <w:qFormat/>
    <w:uiPriority w:val="0"/>
    <w:pPr>
      <w:jc w:val="left"/>
    </w:pPr>
    <w:rPr>
      <w:rFonts w:ascii="Times New Roman" w:hAnsi="Times New Roman" w:cs="Times New Roman"/>
      <w:sz w:val="21"/>
      <w:szCs w:val="24"/>
    </w:rPr>
  </w:style>
  <w:style w:type="paragraph" w:customStyle="1" w:styleId="370">
    <w:name w:val="样式 8 小四"/>
    <w:basedOn w:val="1"/>
    <w:qFormat/>
    <w:uiPriority w:val="0"/>
    <w:pPr>
      <w:jc w:val="left"/>
    </w:pPr>
    <w:rPr>
      <w:b/>
      <w:bCs/>
    </w:rPr>
  </w:style>
  <w:style w:type="paragraph" w:customStyle="1" w:styleId="371">
    <w:name w:val="样式 9 小四"/>
    <w:qFormat/>
    <w:uiPriority w:val="0"/>
    <w:pPr>
      <w:widowControl w:val="0"/>
      <w:jc w:val="both"/>
    </w:pPr>
    <w:rPr>
      <w:rFonts w:ascii="等线" w:hAnsi="等线" w:eastAsia="宋体" w:cs="黑体"/>
      <w:kern w:val="2"/>
      <w:sz w:val="24"/>
      <w:szCs w:val="22"/>
      <w:lang w:val="en-US" w:eastAsia="zh-CN" w:bidi="ar-SA"/>
    </w:rPr>
  </w:style>
  <w:style w:type="paragraph" w:customStyle="1" w:styleId="372">
    <w:name w:val="样式 20 10 磅"/>
    <w:qFormat/>
    <w:uiPriority w:val="0"/>
    <w:pPr>
      <w:widowControl w:val="0"/>
      <w:jc w:val="both"/>
    </w:pPr>
    <w:rPr>
      <w:rFonts w:ascii="等线" w:hAnsi="等线" w:eastAsia="等线" w:cs="黑体"/>
      <w:kern w:val="2"/>
      <w:sz w:val="21"/>
      <w:szCs w:val="22"/>
      <w:lang w:val="en-US" w:eastAsia="zh-CN" w:bidi="ar-SA"/>
    </w:rPr>
  </w:style>
  <w:style w:type="paragraph" w:customStyle="1" w:styleId="373">
    <w:name w:val="样式 21 10 磅"/>
    <w:basedOn w:val="1"/>
    <w:qFormat/>
    <w:uiPriority w:val="0"/>
    <w:pPr>
      <w:jc w:val="left"/>
    </w:pPr>
    <w:rPr>
      <w:rFonts w:eastAsia="等线"/>
      <w:b/>
      <w:bCs/>
      <w:sz w:val="21"/>
    </w:rPr>
  </w:style>
  <w:style w:type="paragraph" w:customStyle="1" w:styleId="374">
    <w:name w:val="样式 22 10 磅"/>
    <w:basedOn w:val="1"/>
    <w:qFormat/>
    <w:uiPriority w:val="0"/>
    <w:pPr>
      <w:jc w:val="left"/>
    </w:pPr>
    <w:rPr>
      <w:rFonts w:eastAsia="等线"/>
      <w:sz w:val="21"/>
    </w:rPr>
  </w:style>
  <w:style w:type="paragraph" w:customStyle="1" w:styleId="375">
    <w:name w:val="样式 10 小四"/>
    <w:qFormat/>
    <w:uiPriority w:val="0"/>
    <w:pPr>
      <w:widowControl w:val="0"/>
      <w:jc w:val="both"/>
    </w:pPr>
    <w:rPr>
      <w:rFonts w:ascii="等线" w:hAnsi="等线" w:eastAsia="宋体" w:cs="黑体"/>
      <w:kern w:val="2"/>
      <w:sz w:val="24"/>
      <w:szCs w:val="22"/>
      <w:lang w:val="en-US" w:eastAsia="zh-CN" w:bidi="ar-SA"/>
    </w:rPr>
  </w:style>
  <w:style w:type="paragraph" w:customStyle="1" w:styleId="376">
    <w:name w:val="样式 23 10 磅"/>
    <w:qFormat/>
    <w:uiPriority w:val="0"/>
    <w:pPr>
      <w:widowControl w:val="0"/>
      <w:jc w:val="both"/>
    </w:pPr>
    <w:rPr>
      <w:rFonts w:ascii="Times New Roman" w:hAnsi="Times New Roman" w:eastAsia="宋体" w:cs="Lucida Sans"/>
      <w:kern w:val="2"/>
      <w:sz w:val="21"/>
      <w:szCs w:val="21"/>
      <w:lang w:val="en-US" w:eastAsia="zh-CN" w:bidi="ar-SA"/>
    </w:rPr>
  </w:style>
  <w:style w:type="paragraph" w:customStyle="1" w:styleId="377">
    <w:name w:val="样式 11 小四"/>
    <w:qFormat/>
    <w:uiPriority w:val="0"/>
    <w:pPr>
      <w:widowControl w:val="0"/>
      <w:jc w:val="both"/>
    </w:pPr>
    <w:rPr>
      <w:rFonts w:ascii="等线" w:hAnsi="等线" w:eastAsia="宋体" w:cs="黑体"/>
      <w:kern w:val="2"/>
      <w:sz w:val="24"/>
      <w:szCs w:val="22"/>
      <w:lang w:val="en-US" w:eastAsia="zh-CN" w:bidi="ar-SA"/>
    </w:rPr>
  </w:style>
  <w:style w:type="paragraph" w:customStyle="1" w:styleId="378">
    <w:name w:val="样式 24 10 磅"/>
    <w:basedOn w:val="1"/>
    <w:qFormat/>
    <w:uiPriority w:val="0"/>
    <w:pPr>
      <w:jc w:val="left"/>
    </w:pPr>
    <w:rPr>
      <w:rFonts w:ascii="Times New Roman" w:hAnsi="Times New Roman" w:cs="Times New Roman"/>
      <w:sz w:val="21"/>
      <w:szCs w:val="24"/>
    </w:rPr>
  </w:style>
  <w:style w:type="paragraph" w:customStyle="1" w:styleId="379">
    <w:name w:val="样式 12 小四"/>
    <w:basedOn w:val="1"/>
    <w:qFormat/>
    <w:uiPriority w:val="0"/>
    <w:pPr>
      <w:jc w:val="left"/>
    </w:pPr>
    <w:rPr>
      <w:b/>
      <w:bCs/>
    </w:rPr>
  </w:style>
  <w:style w:type="paragraph" w:customStyle="1" w:styleId="380">
    <w:name w:val="样式 13 小四"/>
    <w:qFormat/>
    <w:uiPriority w:val="0"/>
    <w:pPr>
      <w:widowControl w:val="0"/>
      <w:spacing w:line="360" w:lineRule="auto"/>
      <w:ind w:firstLine="200" w:firstLineChars="200"/>
    </w:pPr>
    <w:rPr>
      <w:rFonts w:ascii="Calibri" w:hAnsi="Calibri" w:eastAsia="宋体" w:cs="Arial"/>
      <w:kern w:val="2"/>
      <w:sz w:val="24"/>
      <w:szCs w:val="24"/>
      <w:lang w:val="en-US" w:eastAsia="zh-CN" w:bidi="ar-SA"/>
    </w:rPr>
  </w:style>
  <w:style w:type="paragraph" w:customStyle="1" w:styleId="381">
    <w:name w:val="样式 四号"/>
    <w:basedOn w:val="1"/>
    <w:qFormat/>
    <w:uiPriority w:val="0"/>
    <w:pPr>
      <w:suppressAutoHyphens/>
      <w:ind w:left="540" w:hanging="540"/>
    </w:pPr>
    <w:rPr>
      <w:rFonts w:ascii="宋体" w:cs="宋体"/>
      <w:sz w:val="28"/>
      <w:szCs w:val="20"/>
      <w:lang w:eastAsia="ar-SA"/>
    </w:rPr>
  </w:style>
  <w:style w:type="paragraph" w:customStyle="1" w:styleId="382">
    <w:name w:val="样式 25 10 磅"/>
    <w:qFormat/>
    <w:uiPriority w:val="0"/>
    <w:pPr>
      <w:widowControl w:val="0"/>
      <w:jc w:val="both"/>
    </w:pPr>
    <w:rPr>
      <w:rFonts w:ascii="等线" w:hAnsi="等线" w:eastAsia="等线" w:cs="黑体"/>
      <w:kern w:val="2"/>
      <w:sz w:val="21"/>
      <w:szCs w:val="22"/>
      <w:lang w:val="en-US" w:eastAsia="zh-CN" w:bidi="ar-SA"/>
    </w:rPr>
  </w:style>
  <w:style w:type="paragraph" w:customStyle="1" w:styleId="383">
    <w:name w:val="样式 26 10 磅"/>
    <w:qFormat/>
    <w:uiPriority w:val="0"/>
    <w:pPr>
      <w:widowControl w:val="0"/>
      <w:jc w:val="both"/>
    </w:pPr>
    <w:rPr>
      <w:rFonts w:ascii="等线" w:hAnsi="等线" w:eastAsia="等线" w:cs="黑体"/>
      <w:kern w:val="2"/>
      <w:sz w:val="21"/>
      <w:szCs w:val="22"/>
      <w:lang w:val="en-US" w:eastAsia="zh-CN" w:bidi="ar-SA"/>
    </w:rPr>
  </w:style>
  <w:style w:type="paragraph" w:customStyle="1" w:styleId="384">
    <w:name w:val="样式 1 四号"/>
    <w:basedOn w:val="1"/>
    <w:qFormat/>
    <w:uiPriority w:val="0"/>
    <w:pPr>
      <w:suppressAutoHyphens/>
      <w:ind w:left="540" w:hanging="540"/>
    </w:pPr>
    <w:rPr>
      <w:rFonts w:ascii="宋体" w:cs="宋体"/>
      <w:sz w:val="28"/>
      <w:szCs w:val="20"/>
      <w:lang w:eastAsia="ar-SA"/>
    </w:rPr>
  </w:style>
  <w:style w:type="paragraph" w:customStyle="1" w:styleId="385">
    <w:name w:val="样式 14 小四"/>
    <w:qFormat/>
    <w:uiPriority w:val="0"/>
    <w:pPr>
      <w:widowControl w:val="0"/>
      <w:jc w:val="both"/>
    </w:pPr>
    <w:rPr>
      <w:rFonts w:ascii="等线" w:hAnsi="等线" w:eastAsia="宋体" w:cs="黑体"/>
      <w:kern w:val="2"/>
      <w:sz w:val="24"/>
      <w:szCs w:val="22"/>
      <w:lang w:val="en-US" w:eastAsia="zh-CN" w:bidi="ar-SA"/>
    </w:rPr>
  </w:style>
  <w:style w:type="paragraph" w:customStyle="1" w:styleId="386">
    <w:name w:val="样式 15 小四"/>
    <w:qFormat/>
    <w:uiPriority w:val="0"/>
    <w:pPr>
      <w:widowControl w:val="0"/>
      <w:jc w:val="both"/>
    </w:pPr>
    <w:rPr>
      <w:rFonts w:ascii="等线" w:hAnsi="等线" w:eastAsia="宋体" w:cs="黑体"/>
      <w:kern w:val="2"/>
      <w:sz w:val="24"/>
      <w:szCs w:val="22"/>
      <w:lang w:val="en-US" w:eastAsia="zh-CN" w:bidi="ar-SA"/>
    </w:rPr>
  </w:style>
  <w:style w:type="paragraph" w:customStyle="1" w:styleId="387">
    <w:name w:val="样式 16 小四"/>
    <w:qFormat/>
    <w:uiPriority w:val="0"/>
    <w:pPr>
      <w:widowControl w:val="0"/>
      <w:jc w:val="both"/>
    </w:pPr>
    <w:rPr>
      <w:rFonts w:ascii="等线" w:hAnsi="等线" w:eastAsia="宋体" w:cs="黑体"/>
      <w:kern w:val="2"/>
      <w:sz w:val="24"/>
      <w:szCs w:val="22"/>
      <w:lang w:val="en-US" w:eastAsia="zh-CN" w:bidi="ar-SA"/>
    </w:rPr>
  </w:style>
  <w:style w:type="paragraph" w:customStyle="1" w:styleId="388">
    <w:name w:val="样式 17 小四"/>
    <w:qFormat/>
    <w:uiPriority w:val="0"/>
    <w:pPr>
      <w:widowControl w:val="0"/>
      <w:jc w:val="both"/>
    </w:pPr>
    <w:rPr>
      <w:rFonts w:ascii="等线" w:hAnsi="等线" w:eastAsia="宋体" w:cs="黑体"/>
      <w:kern w:val="2"/>
      <w:sz w:val="24"/>
      <w:szCs w:val="22"/>
      <w:lang w:val="en-US" w:eastAsia="zh-CN" w:bidi="ar-SA"/>
    </w:rPr>
  </w:style>
  <w:style w:type="paragraph" w:customStyle="1" w:styleId="389">
    <w:name w:val="样式 18 小四"/>
    <w:qFormat/>
    <w:uiPriority w:val="0"/>
    <w:pPr>
      <w:widowControl w:val="0"/>
      <w:jc w:val="both"/>
    </w:pPr>
    <w:rPr>
      <w:rFonts w:ascii="等线" w:hAnsi="等线" w:eastAsia="宋体" w:cs="黑体"/>
      <w:kern w:val="2"/>
      <w:sz w:val="24"/>
      <w:szCs w:val="22"/>
      <w:lang w:val="en-US" w:eastAsia="zh-CN" w:bidi="ar-SA"/>
    </w:rPr>
  </w:style>
  <w:style w:type="paragraph" w:customStyle="1" w:styleId="390">
    <w:name w:val="样式 19 小四"/>
    <w:qFormat/>
    <w:uiPriority w:val="0"/>
    <w:pPr>
      <w:widowControl w:val="0"/>
      <w:jc w:val="both"/>
    </w:pPr>
    <w:rPr>
      <w:rFonts w:ascii="等线" w:hAnsi="等线" w:eastAsia="宋体" w:cs="黑体"/>
      <w:kern w:val="2"/>
      <w:sz w:val="24"/>
      <w:szCs w:val="22"/>
      <w:lang w:val="en-US" w:eastAsia="zh-CN" w:bidi="ar-SA"/>
    </w:rPr>
  </w:style>
  <w:style w:type="paragraph" w:customStyle="1" w:styleId="391">
    <w:name w:val="样式 20 小四"/>
    <w:qFormat/>
    <w:uiPriority w:val="0"/>
    <w:pPr>
      <w:widowControl w:val="0"/>
      <w:jc w:val="both"/>
    </w:pPr>
    <w:rPr>
      <w:rFonts w:ascii="等线" w:hAnsi="等线" w:eastAsia="宋体" w:cs="黑体"/>
      <w:kern w:val="2"/>
      <w:sz w:val="24"/>
      <w:szCs w:val="22"/>
      <w:lang w:val="en-US" w:eastAsia="zh-CN" w:bidi="ar-SA"/>
    </w:rPr>
  </w:style>
  <w:style w:type="paragraph" w:customStyle="1" w:styleId="392">
    <w:name w:val="样式 21 小四"/>
    <w:qFormat/>
    <w:uiPriority w:val="0"/>
    <w:pPr>
      <w:widowControl w:val="0"/>
      <w:jc w:val="both"/>
    </w:pPr>
    <w:rPr>
      <w:rFonts w:ascii="等线" w:hAnsi="等线" w:eastAsia="宋体" w:cs="黑体"/>
      <w:kern w:val="2"/>
      <w:sz w:val="24"/>
      <w:szCs w:val="22"/>
      <w:lang w:val="en-US" w:eastAsia="zh-CN" w:bidi="ar-SA"/>
    </w:rPr>
  </w:style>
  <w:style w:type="paragraph" w:customStyle="1" w:styleId="393">
    <w:name w:val="样式 22 小四"/>
    <w:qFormat/>
    <w:uiPriority w:val="0"/>
    <w:pPr>
      <w:widowControl w:val="0"/>
      <w:jc w:val="both"/>
    </w:pPr>
    <w:rPr>
      <w:rFonts w:ascii="等线" w:hAnsi="等线" w:eastAsia="宋体" w:cs="黑体"/>
      <w:kern w:val="2"/>
      <w:sz w:val="24"/>
      <w:szCs w:val="22"/>
      <w:lang w:val="en-US" w:eastAsia="zh-CN" w:bidi="ar-SA"/>
    </w:rPr>
  </w:style>
  <w:style w:type="paragraph" w:customStyle="1" w:styleId="394">
    <w:name w:val="样式 23 小四"/>
    <w:qFormat/>
    <w:uiPriority w:val="0"/>
    <w:pPr>
      <w:widowControl w:val="0"/>
      <w:jc w:val="both"/>
    </w:pPr>
    <w:rPr>
      <w:rFonts w:ascii="等线" w:hAnsi="等线" w:eastAsia="宋体" w:cs="黑体"/>
      <w:kern w:val="2"/>
      <w:sz w:val="24"/>
      <w:szCs w:val="22"/>
      <w:lang w:val="en-US" w:eastAsia="zh-CN" w:bidi="ar-SA"/>
    </w:rPr>
  </w:style>
  <w:style w:type="paragraph" w:customStyle="1" w:styleId="395">
    <w:name w:val="样式 24 小四"/>
    <w:qFormat/>
    <w:uiPriority w:val="0"/>
    <w:pPr>
      <w:widowControl w:val="0"/>
      <w:jc w:val="both"/>
    </w:pPr>
    <w:rPr>
      <w:rFonts w:ascii="等线" w:hAnsi="等线" w:eastAsia="宋体" w:cs="黑体"/>
      <w:kern w:val="2"/>
      <w:sz w:val="24"/>
      <w:szCs w:val="22"/>
      <w:lang w:val="en-US" w:eastAsia="zh-CN" w:bidi="ar-SA"/>
    </w:rPr>
  </w:style>
  <w:style w:type="paragraph" w:customStyle="1" w:styleId="396">
    <w:name w:val="样式 25 小四"/>
    <w:qFormat/>
    <w:uiPriority w:val="0"/>
    <w:pPr>
      <w:widowControl w:val="0"/>
      <w:jc w:val="both"/>
    </w:pPr>
    <w:rPr>
      <w:rFonts w:ascii="等线" w:hAnsi="等线" w:eastAsia="宋体" w:cs="黑体"/>
      <w:kern w:val="2"/>
      <w:sz w:val="24"/>
      <w:szCs w:val="22"/>
      <w:lang w:val="en-US" w:eastAsia="zh-CN" w:bidi="ar-SA"/>
    </w:rPr>
  </w:style>
  <w:style w:type="paragraph" w:customStyle="1" w:styleId="397">
    <w:name w:val="样式 26 小四"/>
    <w:qFormat/>
    <w:uiPriority w:val="0"/>
    <w:pPr>
      <w:widowControl w:val="0"/>
      <w:jc w:val="both"/>
    </w:pPr>
    <w:rPr>
      <w:rFonts w:ascii="等线" w:hAnsi="等线" w:eastAsia="宋体" w:cs="黑体"/>
      <w:kern w:val="2"/>
      <w:sz w:val="24"/>
      <w:szCs w:val="22"/>
      <w:lang w:val="en-US" w:eastAsia="zh-CN" w:bidi="ar-SA"/>
    </w:rPr>
  </w:style>
  <w:style w:type="paragraph" w:customStyle="1" w:styleId="398">
    <w:name w:val="样式 27 小四"/>
    <w:qFormat/>
    <w:uiPriority w:val="0"/>
    <w:pPr>
      <w:widowControl w:val="0"/>
      <w:jc w:val="both"/>
    </w:pPr>
    <w:rPr>
      <w:rFonts w:ascii="等线" w:hAnsi="等线" w:eastAsia="宋体" w:cs="黑体"/>
      <w:kern w:val="2"/>
      <w:sz w:val="24"/>
      <w:szCs w:val="22"/>
      <w:lang w:val="en-US" w:eastAsia="zh-CN" w:bidi="ar-SA"/>
    </w:rPr>
  </w:style>
  <w:style w:type="paragraph" w:customStyle="1" w:styleId="399">
    <w:name w:val="样式 28 小四"/>
    <w:qFormat/>
    <w:uiPriority w:val="0"/>
    <w:pPr>
      <w:widowControl w:val="0"/>
      <w:jc w:val="both"/>
    </w:pPr>
    <w:rPr>
      <w:rFonts w:ascii="等线" w:hAnsi="等线" w:eastAsia="宋体" w:cs="黑体"/>
      <w:kern w:val="2"/>
      <w:sz w:val="24"/>
      <w:szCs w:val="22"/>
      <w:lang w:val="en-US" w:eastAsia="zh-CN" w:bidi="ar-SA"/>
    </w:rPr>
  </w:style>
  <w:style w:type="paragraph" w:customStyle="1" w:styleId="400">
    <w:name w:val="样式 29 小四"/>
    <w:qFormat/>
    <w:uiPriority w:val="0"/>
    <w:pPr>
      <w:widowControl w:val="0"/>
      <w:jc w:val="both"/>
    </w:pPr>
    <w:rPr>
      <w:rFonts w:ascii="等线" w:hAnsi="等线" w:eastAsia="宋体" w:cs="黑体"/>
      <w:kern w:val="2"/>
      <w:sz w:val="24"/>
      <w:szCs w:val="22"/>
      <w:lang w:val="en-US" w:eastAsia="zh-CN" w:bidi="ar-SA"/>
    </w:rPr>
  </w:style>
  <w:style w:type="paragraph" w:customStyle="1" w:styleId="401">
    <w:name w:val="样式 30 小四"/>
    <w:qFormat/>
    <w:uiPriority w:val="0"/>
    <w:pPr>
      <w:widowControl w:val="0"/>
      <w:jc w:val="both"/>
    </w:pPr>
    <w:rPr>
      <w:rFonts w:ascii="等线" w:hAnsi="等线" w:eastAsia="宋体" w:cs="黑体"/>
      <w:kern w:val="2"/>
      <w:sz w:val="24"/>
      <w:szCs w:val="22"/>
      <w:lang w:val="en-US" w:eastAsia="zh-CN" w:bidi="ar-SA"/>
    </w:rPr>
  </w:style>
  <w:style w:type="paragraph" w:customStyle="1" w:styleId="402">
    <w:name w:val="样式 31 小四"/>
    <w:qFormat/>
    <w:uiPriority w:val="0"/>
    <w:pPr>
      <w:widowControl w:val="0"/>
      <w:jc w:val="both"/>
    </w:pPr>
    <w:rPr>
      <w:rFonts w:ascii="等线" w:hAnsi="等线" w:eastAsia="宋体" w:cs="黑体"/>
      <w:kern w:val="2"/>
      <w:sz w:val="24"/>
      <w:szCs w:val="22"/>
      <w:lang w:val="en-US" w:eastAsia="zh-CN" w:bidi="ar-SA"/>
    </w:rPr>
  </w:style>
  <w:style w:type="paragraph" w:customStyle="1" w:styleId="403">
    <w:name w:val="样式 32 小四"/>
    <w:qFormat/>
    <w:uiPriority w:val="0"/>
    <w:pPr>
      <w:widowControl w:val="0"/>
      <w:jc w:val="both"/>
    </w:pPr>
    <w:rPr>
      <w:rFonts w:ascii="等线" w:hAnsi="等线" w:eastAsia="宋体" w:cs="黑体"/>
      <w:kern w:val="2"/>
      <w:sz w:val="24"/>
      <w:szCs w:val="22"/>
      <w:lang w:val="en-US" w:eastAsia="zh-CN" w:bidi="ar-SA"/>
    </w:rPr>
  </w:style>
  <w:style w:type="paragraph" w:customStyle="1" w:styleId="404">
    <w:name w:val="样式 33 小四"/>
    <w:qFormat/>
    <w:uiPriority w:val="0"/>
    <w:pPr>
      <w:widowControl w:val="0"/>
      <w:jc w:val="both"/>
    </w:pPr>
    <w:rPr>
      <w:rFonts w:ascii="等线" w:hAnsi="等线" w:eastAsia="宋体" w:cs="黑体"/>
      <w:kern w:val="2"/>
      <w:sz w:val="24"/>
      <w:szCs w:val="22"/>
      <w:lang w:val="en-US" w:eastAsia="zh-CN" w:bidi="ar-SA"/>
    </w:rPr>
  </w:style>
  <w:style w:type="paragraph" w:customStyle="1" w:styleId="405">
    <w:name w:val="样式 34 小四"/>
    <w:qFormat/>
    <w:uiPriority w:val="0"/>
    <w:pPr>
      <w:widowControl w:val="0"/>
      <w:jc w:val="both"/>
    </w:pPr>
    <w:rPr>
      <w:rFonts w:ascii="等线" w:hAnsi="等线" w:eastAsia="宋体" w:cs="黑体"/>
      <w:kern w:val="2"/>
      <w:sz w:val="24"/>
      <w:szCs w:val="22"/>
      <w:lang w:val="en-US" w:eastAsia="zh-CN" w:bidi="ar-SA"/>
    </w:rPr>
  </w:style>
  <w:style w:type="paragraph" w:customStyle="1" w:styleId="406">
    <w:name w:val="样式 35 小四"/>
    <w:qFormat/>
    <w:uiPriority w:val="0"/>
    <w:pPr>
      <w:widowControl w:val="0"/>
      <w:jc w:val="both"/>
    </w:pPr>
    <w:rPr>
      <w:rFonts w:ascii="等线" w:hAnsi="等线" w:eastAsia="宋体" w:cs="黑体"/>
      <w:kern w:val="2"/>
      <w:sz w:val="24"/>
      <w:szCs w:val="22"/>
      <w:lang w:val="en-US" w:eastAsia="zh-CN" w:bidi="ar-SA"/>
    </w:rPr>
  </w:style>
  <w:style w:type="paragraph" w:customStyle="1" w:styleId="407">
    <w:name w:val="样式 36 小四"/>
    <w:qFormat/>
    <w:uiPriority w:val="0"/>
    <w:pPr>
      <w:widowControl w:val="0"/>
      <w:jc w:val="both"/>
    </w:pPr>
    <w:rPr>
      <w:rFonts w:ascii="等线" w:hAnsi="等线" w:eastAsia="宋体" w:cs="黑体"/>
      <w:kern w:val="2"/>
      <w:sz w:val="24"/>
      <w:szCs w:val="22"/>
      <w:lang w:val="en-US" w:eastAsia="zh-CN" w:bidi="ar-SA"/>
    </w:rPr>
  </w:style>
  <w:style w:type="paragraph" w:customStyle="1" w:styleId="408">
    <w:name w:val="样式 37 小四"/>
    <w:qFormat/>
    <w:uiPriority w:val="0"/>
    <w:pPr>
      <w:widowControl w:val="0"/>
      <w:jc w:val="both"/>
    </w:pPr>
    <w:rPr>
      <w:rFonts w:ascii="等线" w:hAnsi="等线" w:eastAsia="宋体" w:cs="黑体"/>
      <w:kern w:val="2"/>
      <w:sz w:val="24"/>
      <w:szCs w:val="22"/>
      <w:lang w:val="en-US" w:eastAsia="zh-CN" w:bidi="ar-SA"/>
    </w:rPr>
  </w:style>
  <w:style w:type="paragraph" w:customStyle="1" w:styleId="409">
    <w:name w:val="样式 38 小四"/>
    <w:qFormat/>
    <w:uiPriority w:val="0"/>
    <w:pPr>
      <w:widowControl w:val="0"/>
      <w:jc w:val="both"/>
    </w:pPr>
    <w:rPr>
      <w:rFonts w:ascii="等线" w:hAnsi="等线" w:eastAsia="宋体" w:cs="黑体"/>
      <w:kern w:val="2"/>
      <w:sz w:val="24"/>
      <w:szCs w:val="22"/>
      <w:lang w:val="en-US" w:eastAsia="zh-CN" w:bidi="ar-SA"/>
    </w:rPr>
  </w:style>
  <w:style w:type="paragraph" w:customStyle="1" w:styleId="410">
    <w:name w:val="样式 39 小四"/>
    <w:qFormat/>
    <w:uiPriority w:val="0"/>
    <w:pPr>
      <w:widowControl w:val="0"/>
      <w:jc w:val="both"/>
    </w:pPr>
    <w:rPr>
      <w:rFonts w:ascii="等线" w:hAnsi="等线" w:eastAsia="宋体" w:cs="黑体"/>
      <w:kern w:val="2"/>
      <w:sz w:val="24"/>
      <w:szCs w:val="22"/>
      <w:lang w:val="en-US" w:eastAsia="zh-CN" w:bidi="ar-SA"/>
    </w:rPr>
  </w:style>
  <w:style w:type="paragraph" w:customStyle="1" w:styleId="411">
    <w:name w:val="样式 40 小四"/>
    <w:qFormat/>
    <w:uiPriority w:val="0"/>
    <w:pPr>
      <w:widowControl w:val="0"/>
      <w:jc w:val="both"/>
    </w:pPr>
    <w:rPr>
      <w:rFonts w:ascii="等线" w:hAnsi="等线" w:eastAsia="宋体" w:cs="黑体"/>
      <w:kern w:val="2"/>
      <w:sz w:val="24"/>
      <w:szCs w:val="22"/>
      <w:lang w:val="en-US" w:eastAsia="zh-CN" w:bidi="ar-SA"/>
    </w:rPr>
  </w:style>
  <w:style w:type="paragraph" w:customStyle="1" w:styleId="412">
    <w:name w:val="样式 41 小四"/>
    <w:qFormat/>
    <w:uiPriority w:val="0"/>
    <w:pPr>
      <w:widowControl w:val="0"/>
      <w:jc w:val="both"/>
    </w:pPr>
    <w:rPr>
      <w:rFonts w:ascii="等线" w:hAnsi="等线" w:eastAsia="宋体" w:cs="黑体"/>
      <w:kern w:val="2"/>
      <w:sz w:val="24"/>
      <w:szCs w:val="22"/>
      <w:lang w:val="en-US" w:eastAsia="zh-CN" w:bidi="ar-SA"/>
    </w:rPr>
  </w:style>
  <w:style w:type="paragraph" w:customStyle="1" w:styleId="413">
    <w:name w:val="样式 42 小四"/>
    <w:qFormat/>
    <w:uiPriority w:val="0"/>
    <w:pPr>
      <w:widowControl w:val="0"/>
      <w:jc w:val="both"/>
    </w:pPr>
    <w:rPr>
      <w:rFonts w:ascii="等线" w:hAnsi="等线" w:eastAsia="宋体" w:cs="黑体"/>
      <w:kern w:val="2"/>
      <w:sz w:val="24"/>
      <w:szCs w:val="22"/>
      <w:lang w:val="en-US" w:eastAsia="zh-CN" w:bidi="ar-SA"/>
    </w:rPr>
  </w:style>
  <w:style w:type="paragraph" w:customStyle="1" w:styleId="414">
    <w:name w:val="样式 27 10 磅"/>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415">
    <w:name w:val="样式 43 小四"/>
    <w:qFormat/>
    <w:uiPriority w:val="0"/>
    <w:pPr>
      <w:widowControl w:val="0"/>
      <w:jc w:val="both"/>
    </w:pPr>
    <w:rPr>
      <w:rFonts w:ascii="等线" w:hAnsi="等线" w:eastAsia="宋体" w:cs="黑体"/>
      <w:kern w:val="2"/>
      <w:sz w:val="24"/>
      <w:szCs w:val="22"/>
      <w:lang w:val="en-US" w:eastAsia="zh-CN" w:bidi="ar-SA"/>
    </w:rPr>
  </w:style>
  <w:style w:type="paragraph" w:customStyle="1" w:styleId="416">
    <w:name w:val="样式 44 小四"/>
    <w:qFormat/>
    <w:uiPriority w:val="0"/>
    <w:pPr>
      <w:widowControl w:val="0"/>
      <w:jc w:val="both"/>
    </w:pPr>
    <w:rPr>
      <w:rFonts w:ascii="等线" w:hAnsi="等线" w:eastAsia="宋体" w:cs="黑体"/>
      <w:kern w:val="2"/>
      <w:sz w:val="24"/>
      <w:szCs w:val="22"/>
      <w:lang w:val="en-US" w:eastAsia="zh-CN" w:bidi="ar-SA"/>
    </w:rPr>
  </w:style>
  <w:style w:type="paragraph" w:customStyle="1" w:styleId="417">
    <w:name w:val="样式 45 小四"/>
    <w:qFormat/>
    <w:uiPriority w:val="0"/>
    <w:pPr>
      <w:widowControl w:val="0"/>
      <w:jc w:val="both"/>
    </w:pPr>
    <w:rPr>
      <w:rFonts w:ascii="等线" w:hAnsi="等线" w:eastAsia="宋体" w:cs="黑体"/>
      <w:kern w:val="2"/>
      <w:sz w:val="24"/>
      <w:szCs w:val="22"/>
      <w:lang w:val="en-US" w:eastAsia="zh-CN" w:bidi="ar-SA"/>
    </w:rPr>
  </w:style>
  <w:style w:type="paragraph" w:customStyle="1" w:styleId="418">
    <w:name w:val="样式 46 小四"/>
    <w:qFormat/>
    <w:uiPriority w:val="0"/>
    <w:pPr>
      <w:widowControl w:val="0"/>
      <w:jc w:val="both"/>
    </w:pPr>
    <w:rPr>
      <w:rFonts w:ascii="等线" w:hAnsi="等线" w:eastAsia="宋体" w:cs="黑体"/>
      <w:kern w:val="2"/>
      <w:sz w:val="24"/>
      <w:szCs w:val="22"/>
      <w:lang w:val="en-US" w:eastAsia="zh-CN" w:bidi="ar-SA"/>
    </w:rPr>
  </w:style>
  <w:style w:type="paragraph" w:customStyle="1" w:styleId="419">
    <w:name w:val="样式 47 小四"/>
    <w:qFormat/>
    <w:uiPriority w:val="0"/>
    <w:pPr>
      <w:widowControl w:val="0"/>
      <w:jc w:val="both"/>
    </w:pPr>
    <w:rPr>
      <w:rFonts w:ascii="等线" w:hAnsi="等线" w:eastAsia="宋体" w:cs="黑体"/>
      <w:kern w:val="2"/>
      <w:sz w:val="24"/>
      <w:szCs w:val="22"/>
      <w:lang w:val="en-US" w:eastAsia="zh-CN" w:bidi="ar-SA"/>
    </w:rPr>
  </w:style>
  <w:style w:type="paragraph" w:customStyle="1" w:styleId="420">
    <w:name w:val="样式 48 小四"/>
    <w:qFormat/>
    <w:uiPriority w:val="0"/>
    <w:pPr>
      <w:widowControl w:val="0"/>
      <w:jc w:val="both"/>
    </w:pPr>
    <w:rPr>
      <w:rFonts w:ascii="等线" w:hAnsi="等线" w:eastAsia="宋体" w:cs="黑体"/>
      <w:kern w:val="2"/>
      <w:sz w:val="24"/>
      <w:szCs w:val="22"/>
      <w:lang w:val="en-US" w:eastAsia="zh-CN" w:bidi="ar-SA"/>
    </w:rPr>
  </w:style>
  <w:style w:type="paragraph" w:customStyle="1" w:styleId="421">
    <w:name w:val="样式 49 小四"/>
    <w:qFormat/>
    <w:uiPriority w:val="0"/>
    <w:pPr>
      <w:widowControl w:val="0"/>
      <w:jc w:val="both"/>
    </w:pPr>
    <w:rPr>
      <w:rFonts w:ascii="等线" w:hAnsi="等线" w:eastAsia="宋体" w:cs="黑体"/>
      <w:kern w:val="2"/>
      <w:sz w:val="24"/>
      <w:szCs w:val="22"/>
      <w:lang w:val="en-US" w:eastAsia="zh-CN" w:bidi="ar-SA"/>
    </w:rPr>
  </w:style>
  <w:style w:type="paragraph" w:customStyle="1" w:styleId="422">
    <w:name w:val="样式 50 小四"/>
    <w:qFormat/>
    <w:uiPriority w:val="0"/>
    <w:pPr>
      <w:widowControl w:val="0"/>
      <w:jc w:val="both"/>
    </w:pPr>
    <w:rPr>
      <w:rFonts w:ascii="等线" w:hAnsi="等线" w:eastAsia="宋体" w:cs="黑体"/>
      <w:kern w:val="2"/>
      <w:sz w:val="24"/>
      <w:szCs w:val="22"/>
      <w:lang w:val="en-US" w:eastAsia="zh-CN" w:bidi="ar-SA"/>
    </w:rPr>
  </w:style>
  <w:style w:type="paragraph" w:customStyle="1" w:styleId="423">
    <w:name w:val="样式 51 小四"/>
    <w:qFormat/>
    <w:uiPriority w:val="0"/>
    <w:pPr>
      <w:widowControl w:val="0"/>
      <w:jc w:val="both"/>
    </w:pPr>
    <w:rPr>
      <w:rFonts w:ascii="等线" w:hAnsi="等线" w:eastAsia="宋体" w:cs="黑体"/>
      <w:kern w:val="2"/>
      <w:sz w:val="24"/>
      <w:szCs w:val="22"/>
      <w:lang w:val="en-US" w:eastAsia="zh-CN" w:bidi="ar-SA"/>
    </w:rPr>
  </w:style>
  <w:style w:type="character" w:customStyle="1" w:styleId="424">
    <w:name w:val="批注文字 字符"/>
    <w:basedOn w:val="32"/>
    <w:link w:val="10"/>
    <w:qFormat/>
    <w:uiPriority w:val="0"/>
    <w:rPr>
      <w:rFonts w:cs="Times New Roman"/>
      <w:kern w:val="2"/>
      <w:sz w:val="21"/>
      <w:szCs w:val="24"/>
    </w:rPr>
  </w:style>
  <w:style w:type="paragraph" w:customStyle="1" w:styleId="425">
    <w:name w:val="修订14"/>
    <w:hidden/>
    <w:unhideWhenUsed/>
    <w:qFormat/>
    <w:uiPriority w:val="99"/>
    <w:rPr>
      <w:rFonts w:ascii="等线" w:hAnsi="等线" w:eastAsia="宋体" w:cs="黑体"/>
      <w:kern w:val="2"/>
      <w:sz w:val="24"/>
      <w:szCs w:val="22"/>
      <w:lang w:val="en-US" w:eastAsia="zh-CN" w:bidi="ar-SA"/>
    </w:rPr>
  </w:style>
  <w:style w:type="paragraph" w:customStyle="1" w:styleId="426">
    <w:name w:val="普通(网站) Char"/>
    <w:basedOn w:val="1"/>
    <w:hidden/>
    <w:qFormat/>
    <w:uiPriority w:val="0"/>
    <w:pPr>
      <w:widowControl/>
      <w:spacing w:beforeAutospacing="1" w:afterAutospacing="1"/>
      <w:jc w:val="left"/>
    </w:pPr>
    <w:rPr>
      <w:rFonts w:hint="eastAsia" w:eastAsia="等线"/>
      <w:kern w:val="0"/>
    </w:rPr>
  </w:style>
  <w:style w:type="paragraph" w:customStyle="1" w:styleId="427">
    <w:name w:val="修订15"/>
    <w:hidden/>
    <w:unhideWhenUsed/>
    <w:qFormat/>
    <w:uiPriority w:val="99"/>
    <w:rPr>
      <w:rFonts w:ascii="等线" w:hAnsi="等线" w:eastAsia="宋体" w:cs="黑体"/>
      <w:kern w:val="2"/>
      <w:sz w:val="24"/>
      <w:szCs w:val="22"/>
      <w:lang w:val="en-US" w:eastAsia="zh-CN" w:bidi="ar-SA"/>
    </w:rPr>
  </w:style>
  <w:style w:type="paragraph" w:customStyle="1" w:styleId="428">
    <w:name w:val="正文 New New New New"/>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customProps>
</customData>
</file>

<file path=customXml/itemProps1.xml><?xml version="1.0" encoding="utf-8"?>
<ds:datastoreItem xmlns:ds="http://schemas.openxmlformats.org/officeDocument/2006/customXml" ds:itemID="{73BFCE86-AD18-4622-B14D-D7F8CDD64BD0}">
  <ds:schemaRefs/>
</ds:datastoreItem>
</file>

<file path=docProps/app.xml><?xml version="1.0" encoding="utf-8"?>
<Properties xmlns="http://schemas.openxmlformats.org/officeDocument/2006/extended-properties" xmlns:vt="http://schemas.openxmlformats.org/officeDocument/2006/docPropsVTypes">
  <Template>Normal</Template>
  <Company>GZCUSTOMS</Company>
  <Pages>81</Pages>
  <Words>7833</Words>
  <Characters>44651</Characters>
  <Lines>372</Lines>
  <Paragraphs>104</Paragraphs>
  <TotalTime>10</TotalTime>
  <ScaleCrop>false</ScaleCrop>
  <LinksUpToDate>false</LinksUpToDate>
  <CharactersWithSpaces>52380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2026-08-28T02:39:00Z</dcterms:created>
  <dc:creator>Windows 用户</dc:creator>
  <cp:lastModifiedBy>1</cp:lastModifiedBy>
  <cp:lastPrinted>2024-11-22T08:00:00Z</cp:lastPrinted>
  <dcterms:modified xsi:type="dcterms:W3CDTF">2026-08-28T03:34:36Z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EDC3E2AE713244E3B1409DA9077B5D54</vt:lpwstr>
  </property>
  <property fmtid="{D5CDD505-2E9C-101B-9397-08002B2CF9AE}" pid="4" name="KSOTemplateDocerSaveRecord">
    <vt:lpwstr>eyJoZGlkIjoiN2ViNDU4OWNjYTJmOTRiZDdlNzI2ZGJjNmM5OTVmYjMiLCJ1c2VySWQiOiIxNTQ4NTAyNDYzIn0=</vt:lpwstr>
  </property>
</Properties>
</file>