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3"/>
        <w:adjustRightInd w:val="0"/>
        <w:snapToGrid w:val="0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宁波海关关区2023年政府信息公开工作年度报告</w:t>
      </w:r>
    </w:p>
    <w:p>
      <w:pPr>
        <w:pStyle w:val="33"/>
        <w:adjustRightInd w:val="0"/>
        <w:snapToGrid w:val="0"/>
        <w:ind w:firstLineChars="200" w:firstLine="624"/>
        <w:rPr>
          <w:rFonts w:cs="Arial"/>
          <w:szCs w:val="32"/>
        </w:rPr>
      </w:pPr>
    </w:p>
    <w:p>
      <w:pPr>
        <w:pStyle w:val="33"/>
        <w:adjustRightInd w:val="0"/>
        <w:snapToGrid w:val="0"/>
        <w:ind w:firstLineChars="200" w:firstLine="624"/>
        <w:rPr>
          <w:rFonts w:cs="Arial"/>
          <w:szCs w:val="32"/>
        </w:rPr>
      </w:pPr>
      <w:r>
        <w:rPr>
          <w:rFonts w:cs="Arial" w:hint="eastAsia"/>
          <w:szCs w:val="32"/>
        </w:rPr>
        <w:t>本报告根据《中华人民共和国政府信息公开条例》《国务院办公厅政府信息与政务公开办公室关于印发〈中华人民共和国政府信息公开工作年度报告格式〉的通知》（国办公开办函〔2021〕30号），梳理2023年度宁波海关关区政府信息公开工作情况编制而成。报告中所列数据的统计期限，自2023年1月1日起至2023年12月31日止。如对报告有疑问或任何意见、建议，请联系宁波海关办公室综合科，地址：浙江省宁波市海曙区马园路89号，邮编：315012；电话：0574-89092016；电子邮箱：nbhgzwgk@customs.gov.cn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一、总体情况</w:t>
      </w:r>
    </w:p>
    <w:p>
      <w:pPr>
        <w:pStyle w:val="33"/>
        <w:adjustRightInd w:val="0"/>
        <w:snapToGrid w:val="0"/>
        <w:ind w:firstLineChars="200" w:firstLine="640"/>
      </w:pPr>
      <w:r>
        <w:rPr>
          <w:rFonts w:ascii="方正楷体_GBK" w:eastAsia="方正楷体_GBK" w:hint="eastAsia"/>
          <w:bCs/>
          <w:spacing w:val="0"/>
          <w:szCs w:val="32"/>
        </w:rPr>
        <w:t>（一）主动公开方面。</w:t>
      </w:r>
      <w:r>
        <w:rPr>
          <w:rFonts w:hint="eastAsia"/>
        </w:rPr>
        <w:t>履行法定公开职责，通过门户网站主动公开政府信息2290条，其中，履职依据信息68条（含通知公告61条）、统计信息89条、行政许可信息169条、行政处罚信息1176条、政府采购信息152条、人事信息25条、财政信息53条（含预决算信息44条）、“双随机</w:t>
      </w:r>
      <w:r>
        <w:t>、</w:t>
      </w:r>
      <w:bookmarkStart w:id="1" w:name="_GoBack"/>
      <w:bookmarkEnd w:id="1"/>
      <w:r>
        <w:rPr>
          <w:rFonts w:hint="eastAsia"/>
        </w:rPr>
        <w:t>一公开”结果信息524条、其他信息34条。</w:t>
      </w:r>
    </w:p>
    <w:p>
      <w:pPr>
        <w:pStyle w:val="69"/>
        <w:spacing w:after="0" w:line="560" w:lineRule="exact"/>
        <w:ind w:leftChars="0" w:left="0" w:firstLineChars="200" w:firstLine="640"/>
        <w:rPr>
          <w:rFonts w:cs="Arial"/>
          <w:szCs w:val="32"/>
        </w:rPr>
      </w:pPr>
      <w:r>
        <w:rPr>
          <w:rFonts w:ascii="方正楷体_GBK" w:eastAsia="方正楷体_GBK" w:hint="eastAsia"/>
          <w:bCs/>
          <w:szCs w:val="32"/>
        </w:rPr>
        <w:t>（二）依申请公开方面。</w:t>
      </w:r>
      <w:r>
        <w:rPr>
          <w:rFonts w:cs="Arial" w:hint="eastAsia"/>
          <w:szCs w:val="32"/>
        </w:rPr>
        <w:t>宁波海关关区收到政府信息公开申请46件，由上年度结转4件，其中“自然人”申请45件、“商业企业”申请4件、“法律服务机构”申请1件。办理结果中，“予以公开”13件、“部分公开”14件、“无法提供”（本机关不掌握相关政府信息）7件、“其他处理”14件；结转下年度继续办理2件。涉及政府信息公开申请的行政复议0件、行政诉讼3件。</w:t>
      </w:r>
    </w:p>
    <w:p>
      <w:pPr>
        <w:pStyle w:val="33"/>
        <w:adjustRightInd w:val="0"/>
        <w:snapToGrid w:val="0"/>
        <w:ind w:firstLineChars="200" w:firstLine="640"/>
        <w:rPr>
          <w:rFonts w:ascii="方正楷体_GBK" w:eastAsia="方正楷体_GBK" w:cs="楷体_GB2312"/>
          <w:bCs/>
          <w:szCs w:val="32"/>
          <w:shd w:val="clear" w:color="auto" w:fill="FFFFFF"/>
        </w:rPr>
      </w:pPr>
      <w:r>
        <w:rPr>
          <w:rFonts w:ascii="方正楷体_GBK" w:eastAsia="方正楷体_GBK" w:hint="eastAsia"/>
          <w:bCs/>
          <w:spacing w:val="0"/>
          <w:szCs w:val="32"/>
        </w:rPr>
        <w:t>（三）政府信息管理方面。</w:t>
      </w:r>
      <w:r>
        <w:rPr>
          <w:rFonts w:cs="Arial" w:hint="eastAsia"/>
          <w:spacing w:val="0"/>
          <w:szCs w:val="32"/>
        </w:rPr>
        <w:t>夯实工作基础，修订发布《政府信息公开指南》《宁波海关主动公开基本目录》，明确主动公开事项和责任部门。压实主体责任，完善政府信息审核发布流程，加强政府信息公开审查。加强对隶属海关工作指导，推动公开隶属海关预决算信息、</w:t>
      </w:r>
      <w:r>
        <w:rPr>
          <w:rFonts w:hint="eastAsia"/>
        </w:rPr>
        <w:t>“双公示”信息等。</w:t>
      </w:r>
    </w:p>
    <w:p>
      <w:pPr>
        <w:spacing w:line="560" w:lineRule="exact"/>
        <w:ind w:firstLineChars="200" w:firstLine="640"/>
        <w:jc w:val="left"/>
        <w:rPr>
          <w:szCs w:val="32"/>
        </w:rPr>
      </w:pPr>
      <w:r>
        <w:rPr>
          <w:rFonts w:ascii="方正楷体_GBK" w:eastAsia="方正楷体_GBK" w:hint="eastAsia"/>
          <w:bCs/>
          <w:szCs w:val="32"/>
        </w:rPr>
        <w:t>（四）平台建设方面。</w:t>
      </w:r>
      <w:r>
        <w:rPr>
          <w:rFonts w:cs="Arial" w:hint="eastAsia"/>
          <w:szCs w:val="32"/>
        </w:rPr>
        <w:t>加强门户网站建设，开展网站日常巡查、季度检查、专项检查，进一步明确职责分工，提升网站信息质量。加强政务新媒体管理，</w:t>
      </w:r>
      <w:r>
        <w:rPr>
          <w:rFonts w:hint="eastAsia"/>
          <w:szCs w:val="32"/>
        </w:rPr>
        <w:t>“阿拉甬关”微信公众号发布信息411条，订阅用户数达2.6万人；“宁波海关发布”微博发布信息549条，关注量达1.4万人。</w:t>
      </w:r>
    </w:p>
    <w:p>
      <w:pPr>
        <w:pStyle w:val="33"/>
        <w:adjustRightInd w:val="0"/>
        <w:snapToGrid w:val="0"/>
        <w:ind w:firstLineChars="200" w:firstLine="640"/>
      </w:pPr>
      <w:r>
        <w:rPr>
          <w:rFonts w:ascii="方正楷体_GBK" w:eastAsia="方正楷体_GBK" w:hint="eastAsia"/>
          <w:bCs/>
          <w:spacing w:val="0"/>
          <w:szCs w:val="32"/>
        </w:rPr>
        <w:t>（五）解读回应方面。</w:t>
      </w:r>
      <w:r>
        <w:rPr>
          <w:rFonts w:cs="方正仿宋_GBK" w:hint="eastAsia"/>
          <w:szCs w:val="32"/>
        </w:rPr>
        <w:t>举办门户网站在线访谈3次，其中承办海关总署</w:t>
      </w:r>
      <w:r>
        <w:rPr>
          <w:rFonts w:hint="eastAsia"/>
          <w:szCs w:val="32"/>
        </w:rPr>
        <w:t>在线访谈1次，解读重要海关政策、在线解答网友问题；发布政策解读稿件7篇；隶属海关开展国门安全进校园、关长送政策上门等活动，加强政策精准解读，通过关企联络群等渠道收集整理意见建议，有效回应企业关切。</w:t>
      </w:r>
    </w:p>
    <w:p>
      <w:pPr>
        <w:snapToGrid w:val="0"/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bCs/>
          <w:szCs w:val="32"/>
        </w:rPr>
        <w:t>（六）监督保障方面。</w:t>
      </w:r>
      <w:r>
        <w:rPr>
          <w:rFonts w:cs="Arial" w:hint="eastAsia"/>
          <w:szCs w:val="32"/>
        </w:rPr>
        <w:t>完善保障监督机制，畅通问题反映渠道，接受社会公众监督。</w:t>
      </w:r>
      <w:r>
        <w:rPr>
          <w:rFonts w:cs="方正仿宋_GBK" w:hint="eastAsia"/>
          <w:szCs w:val="32"/>
        </w:rPr>
        <w:t>办理人大代表建议和政协提案17份。</w:t>
      </w:r>
      <w:r>
        <w:rPr>
          <w:rFonts w:cs="Arial" w:hint="eastAsia"/>
          <w:szCs w:val="32"/>
        </w:rPr>
        <w:t>办理“关长信箱”392件、“信访留言”16件、“业务咨询”278件，“12360”海关热线接听电话</w:t>
      </w:r>
      <w:r>
        <w:rPr>
          <w:rFonts w:hint="eastAsia"/>
          <w:color w:val="000000"/>
          <w:szCs w:val="32"/>
        </w:rPr>
        <w:t>2.5万</w:t>
      </w:r>
      <w:r>
        <w:rPr>
          <w:rFonts w:cs="Arial" w:hint="eastAsia"/>
          <w:szCs w:val="32"/>
        </w:rPr>
        <w:t>个。加强培训考核，</w:t>
      </w:r>
      <w:r>
        <w:rPr>
          <w:rFonts w:hint="eastAsia"/>
          <w:szCs w:val="32"/>
        </w:rPr>
        <w:t>举办关区政务公开工作专题培训，派员参加海关总署和省市地方政务公开培训，</w:t>
      </w:r>
      <w:r>
        <w:rPr>
          <w:rFonts w:cs="Arial" w:hint="eastAsia"/>
          <w:szCs w:val="32"/>
        </w:rPr>
        <w:t>提高关区政务公开工作人员整体水平</w:t>
      </w:r>
      <w:r>
        <w:rPr>
          <w:rFonts w:hint="eastAsia"/>
          <w:szCs w:val="32"/>
        </w:rPr>
        <w:t>。</w:t>
      </w:r>
    </w:p>
    <w:p>
      <w:pPr>
        <w:snapToGrid w:val="0"/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szCs w:val="32"/>
        </w:rPr>
        <w:t>（七）基层政务公开工作方面。</w:t>
      </w:r>
      <w:r>
        <w:rPr>
          <w:rFonts w:hint="eastAsia"/>
          <w:szCs w:val="32"/>
        </w:rPr>
        <w:t>2022年以来，</w:t>
      </w:r>
      <w:r>
        <w:rPr>
          <w:rFonts w:ascii="方正仿宋_GBK" w:hint="eastAsia"/>
          <w:szCs w:val="32"/>
        </w:rPr>
        <w:t>将关区</w:t>
      </w:r>
      <w:r>
        <w:rPr>
          <w:szCs w:val="32"/>
        </w:rPr>
        <w:t>17</w:t>
      </w:r>
      <w:r>
        <w:rPr>
          <w:rFonts w:ascii="方正仿宋_GBK" w:hint="eastAsia"/>
          <w:szCs w:val="32"/>
        </w:rPr>
        <w:t>家隶属海关分为</w:t>
      </w:r>
      <w:r>
        <w:rPr>
          <w:szCs w:val="32"/>
        </w:rPr>
        <w:t>3</w:t>
      </w:r>
      <w:r>
        <w:rPr>
          <w:rFonts w:ascii="方正仿宋_GBK" w:hint="eastAsia"/>
          <w:szCs w:val="32"/>
        </w:rPr>
        <w:t>批，推进</w:t>
      </w:r>
      <w:r>
        <w:rPr>
          <w:rFonts w:ascii="方正仿宋_GBK" w:cs="方正仿宋_GBK" w:hint="eastAsia"/>
          <w:szCs w:val="32"/>
        </w:rPr>
        <w:t>基层政务公开标准化规范化建设</w:t>
      </w:r>
      <w:r>
        <w:rPr>
          <w:rFonts w:ascii="方正仿宋_GBK" w:hint="eastAsia"/>
          <w:szCs w:val="32"/>
        </w:rPr>
        <w:t>，</w:t>
      </w:r>
      <w:r>
        <w:rPr>
          <w:rFonts w:hint="eastAsia"/>
          <w:szCs w:val="32"/>
        </w:rPr>
        <w:t>截至2023年8月底，所有隶属海关均完成建设任务。11月，组织开展关区评估复审，并于年底通过海关总署抽查评估。</w:t>
      </w:r>
      <w:r>
        <w:rPr>
          <w:rFonts w:cs="方正仿宋_GBK" w:hint="eastAsia"/>
          <w:bCs/>
          <w:szCs w:val="32"/>
        </w:rPr>
        <w:t>提炼典型做法，</w:t>
      </w:r>
      <w:r>
        <w:rPr>
          <w:rFonts w:hint="eastAsia"/>
          <w:szCs w:val="32"/>
        </w:rPr>
        <w:t>创建</w:t>
      </w:r>
      <w:r>
        <w:rPr>
          <w:szCs w:val="32"/>
        </w:rPr>
        <w:t>北仑海关</w:t>
      </w:r>
      <w:r>
        <w:rPr>
          <w:rFonts w:hint="eastAsia"/>
          <w:szCs w:val="32"/>
        </w:rPr>
        <w:t>“旭政务”</w:t>
      </w:r>
      <w:r>
        <w:rPr>
          <w:rFonts w:cs="方正仿宋_GBK" w:hint="eastAsia"/>
          <w:szCs w:val="32"/>
        </w:rPr>
        <w:t>、</w:t>
      </w:r>
      <w:r>
        <w:rPr>
          <w:szCs w:val="32"/>
        </w:rPr>
        <w:t>保税区海关</w:t>
      </w:r>
      <w:r>
        <w:rPr>
          <w:rFonts w:hint="eastAsia"/>
          <w:szCs w:val="32"/>
        </w:rPr>
        <w:t>“触见甬保”、宁波机场海关“翼路阳光”等一批特色品牌。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2631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2742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1857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三、收到和处理政府信息公开申请情况</w:t>
      </w:r>
    </w:p>
    <w:tbl>
      <w:tblPr>
        <w:jc w:val="cen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734"/>
        <w:gridCol w:w="851"/>
        <w:gridCol w:w="850"/>
        <w:gridCol w:w="709"/>
        <w:gridCol w:w="709"/>
        <w:gridCol w:w="709"/>
        <w:gridCol w:w="681"/>
        <w:gridCol w:w="763"/>
      </w:tblGrid>
      <w:tr>
        <w:trPr>
          <w:tblHeader/>
        </w:trPr>
        <w:tc>
          <w:tcPr>
            <w:tcW w:w="43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27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65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933"/>
          <w:tblHeader/>
        </w:trPr>
        <w:tc>
          <w:tcPr>
            <w:tcW w:w="43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7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rPr>
          <w:trHeight w:val="432"/>
        </w:trPr>
        <w:tc>
          <w:tcPr>
            <w:tcW w:w="436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46</w:t>
            </w:r>
          </w:p>
        </w:tc>
      </w:tr>
      <w:tr>
        <w:tc>
          <w:tcPr>
            <w:tcW w:w="436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13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14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48</w:t>
            </w:r>
          </w:p>
        </w:tc>
      </w:tr>
      <w:tr>
        <w:tc>
          <w:tcPr>
            <w:tcW w:w="436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</w:tbl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</w:tr>
    </w:tbl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五、存在的主要问题及改进情况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  <w:r>
        <w:rPr>
          <w:rFonts w:hint="eastAsia"/>
        </w:rPr>
        <w:t>2022年政府信息公开工作存在的问题有：需进一步提升基层政务公开标准化规范化工作成效，提高社会群众获取信息的便利度</w:t>
      </w:r>
      <w:r>
        <w:t>。</w:t>
      </w:r>
      <w:r>
        <w:rPr>
          <w:rFonts w:hint="eastAsia"/>
        </w:rPr>
        <w:t>2023年，宁波海关采取以下措施进行整改：全面推进基层政务公开标准化规范化建设，关区所有隶属海关完成对标任务，并于年底顺利通过海关总署抽查评估</w:t>
      </w:r>
      <w:r>
        <w:rPr>
          <w:rFonts w:hint="eastAsia"/>
          <w:szCs w:val="32"/>
        </w:rPr>
        <w:t>。</w:t>
      </w:r>
      <w:r>
        <w:rPr>
          <w:rFonts w:cs="宋体" w:hint="eastAsia"/>
          <w:szCs w:val="32"/>
        </w:rPr>
        <w:t>在门户网站</w:t>
      </w:r>
      <w:r>
        <w:rPr>
          <w:rFonts w:hint="eastAsia"/>
          <w:szCs w:val="32"/>
        </w:rPr>
        <w:t>开设隶属海关政务公开专栏，集中公开关区17个隶属海关机构信息、政务服务、行政执法信息、综合管理等6大类信息，方便</w:t>
      </w:r>
      <w:r>
        <w:rPr>
          <w:rFonts w:hint="eastAsia"/>
        </w:rPr>
        <w:t>社会群众获取信息</w:t>
      </w:r>
      <w:r>
        <w:t>。</w:t>
      </w:r>
      <w:r>
        <w:rPr>
          <w:rFonts w:hint="eastAsia"/>
          <w:szCs w:val="32"/>
        </w:rPr>
        <w:t>积极培育隶属海关政务公开品牌，其中，北仑海关相关工作被海关总署作为典型经验做法通报。加强工作成效宣传，在微信公众号刊发相关隶属海关政务公开优秀经验做法，扩大社会效应。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</w:rPr>
        <w:t>基层政务公开品牌内涵有待丰富，政务公开工作人员能力建设方面还需加强。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六、其他需要报告的事项</w:t>
      </w:r>
      <w:bookmarkEnd w:id="0"/>
    </w:p>
    <w:p>
      <w:pPr>
        <w:pStyle w:val="40"/>
        <w:adjustRightInd w:val="0"/>
        <w:snapToGrid w:val="0"/>
        <w:ind w:firstLineChars="200" w:firstLine="624"/>
        <w:rPr>
          <w:rFonts w:hint="eastAsia"/>
        </w:rPr>
      </w:pPr>
      <w:r>
        <w:rPr>
          <w:rFonts w:hint="eastAsia"/>
        </w:rPr>
        <w:t>本关区2023年无收取信息处理费情况。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cols w:num="1" w:space="72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- 3 -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- 4 -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styleId="69">
    <w:name w:val="Body Text Indent"/>
    <w:basedOn w:val="0"/>
    <w:pPr>
      <w:spacing w:after="120"/>
      <w:ind w:leftChars="200" w:left="200"/>
    </w:pPr>
    <w:rPr>
      <w:szCs w:val="22"/>
    </w:rPr>
  </w:style>
  <w:style w:type="paragraph" w:customStyle="1" w:styleId="70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4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23AF97C-25D4-447F-8147-29E9628554E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13</TotalTime>
  <Application>Yozo_Office27021597764231179</Application>
  <Pages>7</Pages>
  <Words>0</Words>
  <Characters>2271</Characters>
  <Lines>0</Lines>
  <Paragraphs>23</Paragraphs>
  <CharactersWithSpaces>3028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user</cp:lastModifiedBy>
  <cp:revision>6</cp:revision>
  <cp:lastPrinted>2020-01-22T00:43:00Z</cp:lastPrinted>
  <dcterms:created xsi:type="dcterms:W3CDTF">2024-02-21T07:33:00Z</dcterms:created>
  <dcterms:modified xsi:type="dcterms:W3CDTF">2026-02-02T02:09:25Z</dcterms:modified>
</cp:coreProperties>
</file>